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3A73E" w14:textId="77777777" w:rsidR="008A56FA" w:rsidRDefault="008A56FA" w:rsidP="008A56FA">
      <w:pPr>
        <w:pStyle w:val="Kategoria"/>
        <w:ind w:left="0" w:firstLine="0"/>
        <w:rPr>
          <w:caps w:val="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347"/>
        <w:gridCol w:w="7117"/>
      </w:tblGrid>
      <w:tr w:rsidR="008A56FA" w:rsidRPr="006E6AD8" w14:paraId="5DFA4221" w14:textId="77777777" w:rsidTr="008E187F">
        <w:tc>
          <w:tcPr>
            <w:tcW w:w="2347" w:type="dxa"/>
            <w:tcMar>
              <w:top w:w="0" w:type="dxa"/>
              <w:left w:w="108" w:type="dxa"/>
              <w:bottom w:w="0" w:type="dxa"/>
              <w:right w:w="108" w:type="dxa"/>
            </w:tcMar>
          </w:tcPr>
          <w:p w14:paraId="0DF3AC86" w14:textId="77777777" w:rsidR="008A56FA" w:rsidRPr="00F62C21" w:rsidRDefault="008A56FA" w:rsidP="008E187F">
            <w:pPr>
              <w:jc w:val="center"/>
              <w:rPr>
                <w:rFonts w:ascii="Calibri" w:hAnsi="Calibri" w:cs="Calibri"/>
                <w:b/>
                <w:bCs/>
                <w:color w:val="404040"/>
                <w:sz w:val="28"/>
                <w:szCs w:val="28"/>
              </w:rPr>
            </w:pPr>
            <w:r w:rsidRPr="00F62C21">
              <w:rPr>
                <w:rFonts w:ascii="Calibri" w:hAnsi="Calibri" w:cs="Calibri"/>
                <w:b/>
                <w:bCs/>
                <w:color w:val="404040"/>
                <w:sz w:val="28"/>
                <w:szCs w:val="28"/>
              </w:rPr>
              <w:t>Nazwa dokumentu:</w:t>
            </w:r>
          </w:p>
          <w:p w14:paraId="582E5098" w14:textId="77777777" w:rsidR="008A56FA" w:rsidRPr="00F62C21" w:rsidRDefault="008A56FA" w:rsidP="008E187F">
            <w:pPr>
              <w:jc w:val="center"/>
              <w:rPr>
                <w:rFonts w:ascii="Calibri" w:hAnsi="Calibri" w:cs="Calibri"/>
                <w:b/>
                <w:bCs/>
                <w:color w:val="404040"/>
                <w:sz w:val="28"/>
                <w:szCs w:val="28"/>
              </w:rPr>
            </w:pPr>
          </w:p>
        </w:tc>
        <w:tc>
          <w:tcPr>
            <w:tcW w:w="7117" w:type="dxa"/>
            <w:tcMar>
              <w:top w:w="0" w:type="dxa"/>
              <w:left w:w="108" w:type="dxa"/>
              <w:bottom w:w="0" w:type="dxa"/>
              <w:right w:w="108" w:type="dxa"/>
            </w:tcMar>
          </w:tcPr>
          <w:p w14:paraId="03D6AEBD" w14:textId="6295A9D5" w:rsidR="008A56FA" w:rsidRPr="00F62C21" w:rsidRDefault="008A56FA" w:rsidP="008E187F">
            <w:pPr>
              <w:ind w:right="34"/>
              <w:jc w:val="center"/>
              <w:rPr>
                <w:rFonts w:ascii="Calibri" w:hAnsi="Calibri" w:cs="Calibri"/>
                <w:b/>
                <w:bCs/>
                <w:color w:val="404040"/>
                <w:sz w:val="28"/>
                <w:szCs w:val="28"/>
                <w:u w:val="single"/>
              </w:rPr>
            </w:pPr>
            <w:r>
              <w:rPr>
                <w:rFonts w:ascii="Calibri" w:hAnsi="Calibri" w:cs="Calibri"/>
                <w:b/>
                <w:bCs/>
                <w:color w:val="404040"/>
                <w:sz w:val="28"/>
                <w:szCs w:val="28"/>
                <w:u w:val="single"/>
              </w:rPr>
              <w:t>Zał. nr. 4 Rekomendacja dotyczące bezpieczeństwa</w:t>
            </w:r>
          </w:p>
        </w:tc>
      </w:tr>
      <w:tr w:rsidR="008A56FA" w:rsidRPr="006E6AD8" w14:paraId="67BDD081" w14:textId="77777777" w:rsidTr="008E187F">
        <w:tc>
          <w:tcPr>
            <w:tcW w:w="2347" w:type="dxa"/>
            <w:tcMar>
              <w:top w:w="0" w:type="dxa"/>
              <w:left w:w="108" w:type="dxa"/>
              <w:bottom w:w="0" w:type="dxa"/>
              <w:right w:w="108" w:type="dxa"/>
            </w:tcMar>
          </w:tcPr>
          <w:p w14:paraId="64C7D20A" w14:textId="77777777" w:rsidR="008A56FA" w:rsidRPr="00F62C21" w:rsidRDefault="008A56FA" w:rsidP="008E187F">
            <w:pPr>
              <w:jc w:val="center"/>
              <w:rPr>
                <w:rFonts w:ascii="Calibri" w:hAnsi="Calibri" w:cs="Calibri"/>
                <w:b/>
                <w:bCs/>
                <w:color w:val="404040"/>
                <w:sz w:val="28"/>
                <w:szCs w:val="28"/>
              </w:rPr>
            </w:pPr>
            <w:r w:rsidRPr="00F62C21">
              <w:rPr>
                <w:rFonts w:ascii="Calibri" w:hAnsi="Calibri" w:cs="Calibri"/>
                <w:b/>
                <w:bCs/>
                <w:color w:val="404040"/>
                <w:sz w:val="28"/>
                <w:szCs w:val="28"/>
              </w:rPr>
              <w:t>Właściciel:</w:t>
            </w:r>
          </w:p>
        </w:tc>
        <w:tc>
          <w:tcPr>
            <w:tcW w:w="7117" w:type="dxa"/>
            <w:tcMar>
              <w:top w:w="0" w:type="dxa"/>
              <w:left w:w="108" w:type="dxa"/>
              <w:bottom w:w="0" w:type="dxa"/>
              <w:right w:w="108" w:type="dxa"/>
            </w:tcMar>
          </w:tcPr>
          <w:p w14:paraId="60D1B29B" w14:textId="77777777" w:rsidR="008A56FA" w:rsidRPr="00F62C21" w:rsidRDefault="008A56FA" w:rsidP="008E187F">
            <w:pPr>
              <w:ind w:right="34"/>
              <w:jc w:val="center"/>
              <w:rPr>
                <w:rFonts w:ascii="Calibri" w:hAnsi="Calibri" w:cs="Calibri"/>
                <w:color w:val="404040"/>
                <w:sz w:val="28"/>
                <w:szCs w:val="28"/>
                <w:lang w:val="en-US"/>
              </w:rPr>
            </w:pPr>
            <w:r w:rsidRPr="00F62C21">
              <w:rPr>
                <w:rFonts w:ascii="Calibri" w:hAnsi="Calibri" w:cs="Calibri"/>
                <w:color w:val="404040"/>
                <w:sz w:val="28"/>
                <w:szCs w:val="28"/>
                <w:lang w:val="en-US"/>
              </w:rPr>
              <w:t>SAMODZIELNY PUBLICZNY ZAKŁAD OPIEKI ZDROWOTNEJ W BOCHNI “SZPITAL POWIATOWY” IM. BŁ MARTY WIECKIEJ</w:t>
            </w:r>
          </w:p>
        </w:tc>
      </w:tr>
      <w:tr w:rsidR="008A56FA" w:rsidRPr="006E6AD8" w14:paraId="696BF31F" w14:textId="77777777" w:rsidTr="008E187F">
        <w:tc>
          <w:tcPr>
            <w:tcW w:w="2347" w:type="dxa"/>
            <w:tcMar>
              <w:top w:w="0" w:type="dxa"/>
              <w:left w:w="108" w:type="dxa"/>
              <w:bottom w:w="0" w:type="dxa"/>
              <w:right w:w="108" w:type="dxa"/>
            </w:tcMar>
          </w:tcPr>
          <w:p w14:paraId="77F4C9CA" w14:textId="77777777" w:rsidR="008A56FA" w:rsidRPr="00F62C21" w:rsidRDefault="008A56FA" w:rsidP="008E187F">
            <w:pPr>
              <w:ind w:right="308"/>
              <w:jc w:val="center"/>
              <w:rPr>
                <w:rFonts w:ascii="Calibri" w:hAnsi="Calibri" w:cs="Calibri"/>
                <w:color w:val="404040"/>
                <w:sz w:val="28"/>
                <w:szCs w:val="28"/>
              </w:rPr>
            </w:pPr>
            <w:r w:rsidRPr="00F62C21">
              <w:rPr>
                <w:rFonts w:ascii="Calibri" w:hAnsi="Calibri" w:cs="Calibri"/>
                <w:b/>
                <w:bCs/>
                <w:color w:val="404040"/>
                <w:sz w:val="28"/>
                <w:szCs w:val="28"/>
              </w:rPr>
              <w:t xml:space="preserve">Data dokumentu: </w:t>
            </w:r>
          </w:p>
          <w:p w14:paraId="04EE3DED" w14:textId="77777777" w:rsidR="008A56FA" w:rsidRPr="00F62C21" w:rsidRDefault="008A56FA" w:rsidP="008E187F">
            <w:pPr>
              <w:jc w:val="center"/>
              <w:rPr>
                <w:rFonts w:ascii="Calibri" w:hAnsi="Calibri" w:cs="Calibri"/>
                <w:b/>
                <w:bCs/>
                <w:color w:val="404040"/>
                <w:sz w:val="28"/>
                <w:szCs w:val="28"/>
              </w:rPr>
            </w:pPr>
          </w:p>
        </w:tc>
        <w:tc>
          <w:tcPr>
            <w:tcW w:w="7117" w:type="dxa"/>
            <w:tcMar>
              <w:top w:w="0" w:type="dxa"/>
              <w:left w:w="108" w:type="dxa"/>
              <w:bottom w:w="0" w:type="dxa"/>
              <w:right w:w="108" w:type="dxa"/>
            </w:tcMar>
          </w:tcPr>
          <w:p w14:paraId="42CA6405" w14:textId="33B6A1EE" w:rsidR="008A56FA" w:rsidRPr="00F62C21" w:rsidRDefault="008E495C" w:rsidP="008E187F">
            <w:pPr>
              <w:jc w:val="center"/>
              <w:rPr>
                <w:rFonts w:ascii="Calibri" w:hAnsi="Calibri" w:cs="Calibri"/>
                <w:b/>
                <w:bCs/>
                <w:color w:val="404040"/>
                <w:sz w:val="28"/>
                <w:szCs w:val="28"/>
              </w:rPr>
            </w:pPr>
            <w:r>
              <w:rPr>
                <w:rFonts w:ascii="Calibri" w:hAnsi="Calibri" w:cs="Calibri"/>
                <w:b/>
                <w:bCs/>
                <w:color w:val="404040"/>
                <w:sz w:val="28"/>
                <w:szCs w:val="28"/>
              </w:rPr>
              <w:t>10</w:t>
            </w:r>
            <w:r w:rsidR="008A56FA" w:rsidRPr="00F62C21">
              <w:rPr>
                <w:rFonts w:ascii="Calibri" w:hAnsi="Calibri" w:cs="Calibri"/>
                <w:b/>
                <w:bCs/>
                <w:color w:val="404040"/>
                <w:sz w:val="28"/>
                <w:szCs w:val="28"/>
              </w:rPr>
              <w:t>.</w:t>
            </w:r>
            <w:r>
              <w:rPr>
                <w:rFonts w:ascii="Calibri" w:hAnsi="Calibri" w:cs="Calibri"/>
                <w:b/>
                <w:bCs/>
                <w:color w:val="404040"/>
                <w:sz w:val="28"/>
                <w:szCs w:val="28"/>
              </w:rPr>
              <w:t>03</w:t>
            </w:r>
            <w:r w:rsidR="008A56FA" w:rsidRPr="00F62C21">
              <w:rPr>
                <w:rFonts w:ascii="Calibri" w:hAnsi="Calibri" w:cs="Calibri"/>
                <w:b/>
                <w:bCs/>
                <w:color w:val="404040"/>
                <w:sz w:val="28"/>
                <w:szCs w:val="28"/>
              </w:rPr>
              <w:t>.202</w:t>
            </w:r>
            <w:r>
              <w:rPr>
                <w:rFonts w:ascii="Calibri" w:hAnsi="Calibri" w:cs="Calibri"/>
                <w:b/>
                <w:bCs/>
                <w:color w:val="404040"/>
                <w:sz w:val="28"/>
                <w:szCs w:val="28"/>
              </w:rPr>
              <w:t>6</w:t>
            </w:r>
            <w:r w:rsidR="008A56FA" w:rsidRPr="00F62C21">
              <w:rPr>
                <w:rFonts w:ascii="Calibri" w:hAnsi="Calibri" w:cs="Calibri"/>
                <w:b/>
                <w:bCs/>
                <w:color w:val="404040"/>
                <w:sz w:val="28"/>
                <w:szCs w:val="28"/>
              </w:rPr>
              <w:t>r</w:t>
            </w:r>
          </w:p>
        </w:tc>
      </w:tr>
      <w:tr w:rsidR="008A56FA" w:rsidRPr="006E6AD8" w14:paraId="692EFEAE" w14:textId="77777777" w:rsidTr="008E187F">
        <w:tc>
          <w:tcPr>
            <w:tcW w:w="2347" w:type="dxa"/>
            <w:tcMar>
              <w:top w:w="0" w:type="dxa"/>
              <w:left w:w="108" w:type="dxa"/>
              <w:bottom w:w="0" w:type="dxa"/>
              <w:right w:w="108" w:type="dxa"/>
            </w:tcMar>
          </w:tcPr>
          <w:p w14:paraId="6D5AEE43" w14:textId="77777777" w:rsidR="008A56FA" w:rsidRPr="00F62C21" w:rsidRDefault="008A56FA" w:rsidP="008E187F">
            <w:pPr>
              <w:ind w:right="308"/>
              <w:jc w:val="center"/>
              <w:rPr>
                <w:rFonts w:ascii="Calibri" w:hAnsi="Calibri" w:cs="Calibri"/>
                <w:b/>
                <w:bCs/>
                <w:color w:val="404040"/>
                <w:sz w:val="28"/>
                <w:szCs w:val="28"/>
              </w:rPr>
            </w:pPr>
            <w:r w:rsidRPr="00F62C21">
              <w:rPr>
                <w:rFonts w:ascii="Calibri" w:hAnsi="Calibri" w:cs="Calibri"/>
                <w:b/>
                <w:bCs/>
                <w:color w:val="404040"/>
                <w:sz w:val="28"/>
                <w:szCs w:val="28"/>
              </w:rPr>
              <w:t>Wersja:</w:t>
            </w:r>
          </w:p>
        </w:tc>
        <w:tc>
          <w:tcPr>
            <w:tcW w:w="7117" w:type="dxa"/>
            <w:tcMar>
              <w:top w:w="0" w:type="dxa"/>
              <w:left w:w="108" w:type="dxa"/>
              <w:bottom w:w="0" w:type="dxa"/>
              <w:right w:w="108" w:type="dxa"/>
            </w:tcMar>
          </w:tcPr>
          <w:p w14:paraId="54735FCC" w14:textId="77777777" w:rsidR="008A56FA" w:rsidRPr="00F62C21" w:rsidRDefault="008A56FA" w:rsidP="008E187F">
            <w:pPr>
              <w:jc w:val="center"/>
              <w:rPr>
                <w:rFonts w:ascii="Calibri" w:hAnsi="Calibri" w:cs="Calibri"/>
                <w:b/>
                <w:bCs/>
                <w:color w:val="404040"/>
                <w:sz w:val="28"/>
                <w:szCs w:val="28"/>
              </w:rPr>
            </w:pPr>
            <w:r w:rsidRPr="00F62C21">
              <w:rPr>
                <w:rFonts w:ascii="Calibri" w:hAnsi="Calibri" w:cs="Calibri"/>
                <w:b/>
                <w:bCs/>
                <w:color w:val="404040"/>
                <w:sz w:val="28"/>
                <w:szCs w:val="28"/>
              </w:rPr>
              <w:t>final</w:t>
            </w:r>
          </w:p>
        </w:tc>
      </w:tr>
    </w:tbl>
    <w:p w14:paraId="4AED56CA" w14:textId="77777777" w:rsidR="008A56FA" w:rsidRDefault="008A56FA" w:rsidP="008A56FA">
      <w:pPr>
        <w:pStyle w:val="Kategoria"/>
        <w:ind w:left="0" w:firstLine="0"/>
      </w:pPr>
    </w:p>
    <w:p w14:paraId="0E276DB6" w14:textId="77777777" w:rsidR="008A56FA" w:rsidRDefault="008A56FA" w:rsidP="008A56FA">
      <w:pPr>
        <w:pStyle w:val="Kategoria"/>
      </w:pPr>
    </w:p>
    <w:p w14:paraId="19A888EE" w14:textId="77777777" w:rsidR="008A56FA" w:rsidRDefault="008A56FA" w:rsidP="008A56FA">
      <w:pPr>
        <w:pStyle w:val="Kategoria"/>
      </w:pPr>
    </w:p>
    <w:p w14:paraId="7199D392" w14:textId="77777777" w:rsidR="008A56FA" w:rsidRDefault="008A56FA" w:rsidP="008A56FA">
      <w:pPr>
        <w:pStyle w:val="Kategoria"/>
      </w:pPr>
    </w:p>
    <w:p w14:paraId="35568253" w14:textId="77777777" w:rsidR="008A56FA" w:rsidRDefault="008A56FA" w:rsidP="008A56FA">
      <w:pPr>
        <w:pStyle w:val="Kategoria"/>
      </w:pPr>
    </w:p>
    <w:p w14:paraId="52D26E69" w14:textId="77777777" w:rsidR="008A56FA" w:rsidRDefault="008A56FA" w:rsidP="008A56FA">
      <w:pPr>
        <w:pStyle w:val="Kategoria"/>
      </w:pPr>
    </w:p>
    <w:p w14:paraId="6DE29E30" w14:textId="77777777" w:rsidR="008A56FA" w:rsidRDefault="008A56FA" w:rsidP="008A56FA">
      <w:pPr>
        <w:pStyle w:val="Kategoria"/>
      </w:pPr>
    </w:p>
    <w:p w14:paraId="29DB94CB" w14:textId="77777777" w:rsidR="008A56FA" w:rsidRDefault="008A56FA" w:rsidP="008A56FA">
      <w:pPr>
        <w:pStyle w:val="Kategoria"/>
      </w:pPr>
    </w:p>
    <w:p w14:paraId="67E8053D" w14:textId="77777777" w:rsidR="008A56FA" w:rsidRDefault="008A56FA" w:rsidP="008A56FA">
      <w:pPr>
        <w:pStyle w:val="Kategoria"/>
      </w:pPr>
    </w:p>
    <w:p w14:paraId="4B1DD8AA" w14:textId="77777777" w:rsidR="008A56FA" w:rsidRDefault="008A56FA" w:rsidP="008A56FA">
      <w:pPr>
        <w:pStyle w:val="Kategoria"/>
      </w:pPr>
    </w:p>
    <w:p w14:paraId="530DD3FD" w14:textId="77777777" w:rsidR="008A56FA" w:rsidRDefault="008A56FA" w:rsidP="008A56FA">
      <w:pPr>
        <w:pStyle w:val="Kategoria"/>
      </w:pPr>
      <w:r w:rsidRPr="00E64179">
        <w:rPr>
          <w:noProof/>
          <w:color w:val="2B579A"/>
          <w:shd w:val="clear" w:color="auto" w:fill="E6E6E6"/>
        </w:rPr>
        <mc:AlternateContent>
          <mc:Choice Requires="wps">
            <w:drawing>
              <wp:anchor distT="0" distB="0" distL="114300" distR="114300" simplePos="0" relativeHeight="251659264" behindDoc="0" locked="0" layoutInCell="1" allowOverlap="1" wp14:anchorId="5DEEB0C1" wp14:editId="28FFD44D">
                <wp:simplePos x="0" y="0"/>
                <wp:positionH relativeFrom="page">
                  <wp:posOffset>313230</wp:posOffset>
                </wp:positionH>
                <wp:positionV relativeFrom="page">
                  <wp:posOffset>6881429</wp:posOffset>
                </wp:positionV>
                <wp:extent cx="7114540" cy="654050"/>
                <wp:effectExtent l="0" t="0" r="0" b="0"/>
                <wp:wrapSquare wrapText="bothSides"/>
                <wp:docPr id="992473066" name="Pole tekstowe 992473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4540" cy="654050"/>
                        </a:xfrm>
                        <a:prstGeom prst="rect">
                          <a:avLst/>
                        </a:prstGeom>
                        <a:noFill/>
                        <a:ln>
                          <a:noFill/>
                          <a:prstDash/>
                        </a:ln>
                      </wps:spPr>
                      <wps:txbx>
                        <w:txbxContent>
                          <w:p w14:paraId="5B50D140" w14:textId="77777777" w:rsidR="008A56FA" w:rsidRPr="006E6AD8" w:rsidRDefault="008A56FA" w:rsidP="008A56FA">
                            <w:pPr>
                              <w:pStyle w:val="Bezodstpw"/>
                              <w:rPr>
                                <w:color w:val="5B9BD5"/>
                                <w:sz w:val="28"/>
                                <w:szCs w:val="28"/>
                              </w:rPr>
                            </w:pPr>
                            <w:r>
                              <w:rPr>
                                <w:color w:val="5B9BD5"/>
                                <w:sz w:val="28"/>
                                <w:szCs w:val="28"/>
                              </w:rPr>
                              <w:t xml:space="preserve">Adnotacje: </w:t>
                            </w:r>
                            <w:r>
                              <w:rPr>
                                <w:color w:val="595959"/>
                              </w:rPr>
                              <w:t>Poniższy dokument został opracowany przez w oparciu o materiały zebrane podczas analizy wewnętrznej</w:t>
                            </w:r>
                          </w:p>
                        </w:txbxContent>
                      </wps:txbx>
                      <wps:bodyPr vert="horz" wrap="square" lIns="1600200" tIns="0" rIns="685800" bIns="0" anchor="t" anchorCtr="0" compatLnSpc="1">
                        <a:spAutoFit/>
                      </wps:bodyPr>
                    </wps:wsp>
                  </a:graphicData>
                </a:graphic>
                <wp14:sizeRelH relativeFrom="page">
                  <wp14:pctWidth>0</wp14:pctWidth>
                </wp14:sizeRelH>
                <wp14:sizeRelV relativeFrom="page">
                  <wp14:pctHeight>0</wp14:pctHeight>
                </wp14:sizeRelV>
              </wp:anchor>
            </w:drawing>
          </mc:Choice>
          <mc:Fallback>
            <w:pict>
              <v:shapetype w14:anchorId="5DEEB0C1" id="_x0000_t202" coordsize="21600,21600" o:spt="202" path="m,l,21600r21600,l21600,xe">
                <v:stroke joinstyle="miter"/>
                <v:path gradientshapeok="t" o:connecttype="rect"/>
              </v:shapetype>
              <v:shape id="Pole tekstowe 992473066" o:spid="_x0000_s1026" type="#_x0000_t202" style="position:absolute;left:0;text-align:left;margin-left:24.65pt;margin-top:541.85pt;width:560.2pt;height:5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" filled="f" stroked="f">
                <v:textbox style="mso-fit-shape-to-text:t" inset="126pt,0,54pt,0">
                  <w:txbxContent>
                    <w:p w14:paraId="5B50D140" w14:textId="77777777" w:rsidR="008A56FA" w:rsidRPr="006E6AD8" w:rsidRDefault="008A56FA" w:rsidP="008A56FA">
                      <w:pPr>
                        <w:pStyle w:val="Bezodstpw"/>
                        <w:rPr>
                          <w:color w:val="5B9BD5"/>
                          <w:sz w:val="28"/>
                          <w:szCs w:val="28"/>
                        </w:rPr>
                      </w:pPr>
                      <w:r>
                        <w:rPr>
                          <w:color w:val="5B9BD5"/>
                          <w:sz w:val="28"/>
                          <w:szCs w:val="28"/>
                        </w:rPr>
                        <w:t xml:space="preserve">Adnotacje: </w:t>
                      </w:r>
                      <w:r>
                        <w:rPr>
                          <w:color w:val="595959"/>
                        </w:rPr>
                        <w:t>Poniższy dokument został opracowany przez w oparciu o materiały zebrane podczas analizy wewnętrznej</w:t>
                      </w:r>
                    </w:p>
                  </w:txbxContent>
                </v:textbox>
                <w10:wrap type="square" anchorx="page" anchory="page"/>
              </v:shape>
            </w:pict>
          </mc:Fallback>
        </mc:AlternateContent>
      </w:r>
    </w:p>
    <w:p w14:paraId="548A6FC5" w14:textId="77777777" w:rsidR="008A56FA" w:rsidRDefault="008A56FA" w:rsidP="008A56FA">
      <w:pPr>
        <w:pStyle w:val="Kategoria"/>
      </w:pPr>
    </w:p>
    <w:p w14:paraId="32426A19" w14:textId="77777777" w:rsidR="008A56FA" w:rsidRDefault="008A56FA" w:rsidP="00C343B9">
      <w:pPr>
        <w:pStyle w:val="Kategoria"/>
      </w:pPr>
    </w:p>
    <w:p w14:paraId="184B5BDA" w14:textId="77777777" w:rsidR="008A56FA" w:rsidRDefault="008A56FA" w:rsidP="00C343B9">
      <w:pPr>
        <w:pStyle w:val="Kategoria"/>
      </w:pPr>
    </w:p>
    <w:p w14:paraId="7A3D2C44" w14:textId="77777777" w:rsidR="008A56FA" w:rsidRDefault="008A56FA" w:rsidP="00C343B9">
      <w:pPr>
        <w:pStyle w:val="Kategoria"/>
      </w:pPr>
    </w:p>
    <w:p w14:paraId="4DD63C1F" w14:textId="38ED14A1" w:rsidR="00C343B9" w:rsidRPr="00A63DF3" w:rsidRDefault="00AD695B" w:rsidP="00C343B9">
      <w:pPr>
        <w:pStyle w:val="Kategoria"/>
      </w:pPr>
      <w:r>
        <w:lastRenderedPageBreak/>
        <w:t>Forma infrastruktury</w:t>
      </w:r>
    </w:p>
    <w:p w14:paraId="2ECD5FEF" w14:textId="77777777" w:rsidR="00C343B9" w:rsidRPr="00A63DF3" w:rsidRDefault="00C343B9" w:rsidP="00A63DF3">
      <w:pPr>
        <w:spacing w:line="360" w:lineRule="auto"/>
        <w:jc w:val="both"/>
        <w:rPr>
          <w:rFonts w:ascii="Calibri" w:hAnsi="Calibri" w:cs="Calibri"/>
        </w:rPr>
      </w:pPr>
    </w:p>
    <w:p w14:paraId="5D385A28" w14:textId="64B2A34C" w:rsidR="003B77D2" w:rsidRDefault="00AD695B" w:rsidP="00700022">
      <w:pPr>
        <w:spacing w:line="360" w:lineRule="auto"/>
        <w:jc w:val="both"/>
        <w:rPr>
          <w:rFonts w:ascii="Calibri" w:hAnsi="Calibri" w:cs="Calibri"/>
        </w:rPr>
      </w:pPr>
      <w:r>
        <w:rPr>
          <w:rFonts w:ascii="Calibri" w:hAnsi="Calibri" w:cs="Calibri"/>
        </w:rPr>
        <w:t>Informacje zebrane podczas audytu wskazują</w:t>
      </w:r>
      <w:r w:rsidR="008A56FA">
        <w:rPr>
          <w:rFonts w:ascii="Calibri" w:hAnsi="Calibri" w:cs="Calibri"/>
        </w:rPr>
        <w:t xml:space="preserve">, że Szpital posiada zasoby, na których istnieje możliwość uruchomienia jednej lub dwóch maszyn wirtualnych, wymaganych działania systemu EOD. </w:t>
      </w:r>
    </w:p>
    <w:p w14:paraId="107DE364" w14:textId="5598AC8F" w:rsidR="008A56FA" w:rsidRDefault="008A56FA" w:rsidP="00700022">
      <w:pPr>
        <w:spacing w:line="360" w:lineRule="auto"/>
        <w:jc w:val="both"/>
        <w:rPr>
          <w:rFonts w:ascii="Calibri" w:hAnsi="Calibri" w:cs="Calibri"/>
        </w:rPr>
      </w:pPr>
      <w:r>
        <w:rPr>
          <w:rFonts w:ascii="Calibri" w:hAnsi="Calibri" w:cs="Calibri"/>
        </w:rPr>
        <w:t xml:space="preserve">Serwer wirtualizacji Szpitala umożliwia instalację oprogramowania w modelu wysokiej dostępności z wykorzystaniem HA i taka jest preferowana a także zalecana forma instalacji oprogramowania. </w:t>
      </w:r>
    </w:p>
    <w:p w14:paraId="408689E4" w14:textId="13434F02" w:rsidR="008A56FA" w:rsidRDefault="008A56FA" w:rsidP="00700022">
      <w:pPr>
        <w:spacing w:line="360" w:lineRule="auto"/>
        <w:jc w:val="both"/>
        <w:rPr>
          <w:rFonts w:ascii="Calibri" w:hAnsi="Calibri" w:cs="Calibri"/>
        </w:rPr>
      </w:pPr>
      <w:r>
        <w:rPr>
          <w:rFonts w:ascii="Calibri" w:hAnsi="Calibri" w:cs="Calibri"/>
        </w:rPr>
        <w:t xml:space="preserve">IT Szpitala zaleca, aby oprogramowanie zostało zainstalowane na systemie operacyjnym Linux oraz silniku bazodanowym, który nie wymaga zakupu licencji komercyjnych (np. PostgreSQL). </w:t>
      </w:r>
    </w:p>
    <w:p w14:paraId="320613A6" w14:textId="3370F2CA" w:rsidR="00AD695B" w:rsidRDefault="008A56FA" w:rsidP="00AD695B">
      <w:pPr>
        <w:spacing w:line="360" w:lineRule="auto"/>
        <w:jc w:val="both"/>
        <w:rPr>
          <w:rFonts w:ascii="Calibri" w:hAnsi="Calibri" w:cs="Calibri"/>
        </w:rPr>
      </w:pPr>
      <w:r>
        <w:rPr>
          <w:rFonts w:ascii="Calibri" w:hAnsi="Calibri" w:cs="Calibri"/>
        </w:rPr>
        <w:t xml:space="preserve">Na ten moment nie rozważano możliwości uruchomienia systemu w chmurze lub na serwerze VPS w ramach chmury prywatnej. </w:t>
      </w:r>
    </w:p>
    <w:p w14:paraId="0A49650F" w14:textId="4C3F75C2" w:rsidR="00AD695B" w:rsidRPr="00A63DF3" w:rsidRDefault="00AD695B" w:rsidP="00AD695B">
      <w:pPr>
        <w:pStyle w:val="Kategoria"/>
      </w:pPr>
      <w:r>
        <w:t>Zabezpieczenie komunikacji</w:t>
      </w:r>
    </w:p>
    <w:p w14:paraId="3CB6B54F" w14:textId="77777777" w:rsidR="00AD695B" w:rsidRPr="00A63DF3" w:rsidRDefault="00AD695B" w:rsidP="00AD695B">
      <w:pPr>
        <w:spacing w:line="360" w:lineRule="auto"/>
        <w:jc w:val="both"/>
        <w:rPr>
          <w:rFonts w:ascii="Calibri" w:hAnsi="Calibri" w:cs="Calibri"/>
        </w:rPr>
      </w:pPr>
    </w:p>
    <w:p w14:paraId="4054A4F7" w14:textId="4C3A2FAD" w:rsidR="00AD695B" w:rsidRDefault="008A56FA" w:rsidP="00AD695B">
      <w:pPr>
        <w:pStyle w:val="Akapitzlist"/>
        <w:numPr>
          <w:ilvl w:val="0"/>
          <w:numId w:val="4"/>
        </w:numPr>
        <w:spacing w:line="360" w:lineRule="auto"/>
        <w:jc w:val="both"/>
        <w:rPr>
          <w:rFonts w:ascii="Calibri" w:hAnsi="Calibri" w:cs="Calibri"/>
        </w:rPr>
      </w:pPr>
      <w:r>
        <w:rPr>
          <w:rFonts w:ascii="Calibri" w:hAnsi="Calibri" w:cs="Calibri"/>
        </w:rPr>
        <w:t xml:space="preserve">Dostęp zdalny dla dostawcy oprogramowania powinien być możliwy jedynie za pomocą klienta VPN. </w:t>
      </w:r>
    </w:p>
    <w:p w14:paraId="31F74F71" w14:textId="0942F2F1" w:rsidR="00AD695B" w:rsidRDefault="00AD695B" w:rsidP="00AD695B">
      <w:pPr>
        <w:pStyle w:val="Akapitzlist"/>
        <w:numPr>
          <w:ilvl w:val="0"/>
          <w:numId w:val="4"/>
        </w:numPr>
        <w:spacing w:line="360" w:lineRule="auto"/>
        <w:jc w:val="both"/>
        <w:rPr>
          <w:rFonts w:ascii="Calibri" w:hAnsi="Calibri" w:cs="Calibri"/>
        </w:rPr>
      </w:pPr>
      <w:r>
        <w:rPr>
          <w:rFonts w:ascii="Calibri" w:hAnsi="Calibri" w:cs="Calibri"/>
        </w:rPr>
        <w:t>Komunikacja pomiędzy użytkownikami pracującymi zdalnie a systemem informatycznym powinna zostać zabezpieczona poprzez klient VPN</w:t>
      </w:r>
      <w:r w:rsidR="008A56FA">
        <w:rPr>
          <w:rFonts w:ascii="Calibri" w:hAnsi="Calibri" w:cs="Calibri"/>
        </w:rPr>
        <w:t xml:space="preserve">. </w:t>
      </w:r>
    </w:p>
    <w:p w14:paraId="345872EC" w14:textId="1D2BC199" w:rsidR="00AD695B" w:rsidRDefault="00AD695B" w:rsidP="00AD695B">
      <w:pPr>
        <w:pStyle w:val="Akapitzlist"/>
        <w:numPr>
          <w:ilvl w:val="0"/>
          <w:numId w:val="4"/>
        </w:numPr>
        <w:spacing w:line="360" w:lineRule="auto"/>
        <w:jc w:val="both"/>
        <w:rPr>
          <w:rFonts w:ascii="Calibri" w:hAnsi="Calibri" w:cs="Calibri"/>
        </w:rPr>
      </w:pPr>
      <w:r>
        <w:rPr>
          <w:rFonts w:ascii="Calibri" w:hAnsi="Calibri" w:cs="Calibri"/>
        </w:rPr>
        <w:t xml:space="preserve">W przypadku korzystania z urządzeń mobilnych połączenie z systemem lub aplikacją mobilną powinno być możliwe dopiero po wcześniejszym połączeniu poprzez klient VPN (instalowany na urządzeniu mobilnym). </w:t>
      </w:r>
    </w:p>
    <w:p w14:paraId="18498EBD" w14:textId="00725CC2" w:rsidR="00AD695B" w:rsidRDefault="00AD695B" w:rsidP="00AD695B">
      <w:pPr>
        <w:pStyle w:val="Akapitzlist"/>
        <w:numPr>
          <w:ilvl w:val="0"/>
          <w:numId w:val="4"/>
        </w:numPr>
        <w:spacing w:line="360" w:lineRule="auto"/>
        <w:jc w:val="both"/>
        <w:rPr>
          <w:rFonts w:ascii="Calibri" w:hAnsi="Calibri" w:cs="Calibri"/>
        </w:rPr>
      </w:pPr>
      <w:r>
        <w:rPr>
          <w:rFonts w:ascii="Calibri" w:hAnsi="Calibri" w:cs="Calibri"/>
        </w:rPr>
        <w:t xml:space="preserve">Komunikacja z systemem informatycznym </w:t>
      </w:r>
      <w:r w:rsidR="008A56FA">
        <w:rPr>
          <w:rFonts w:ascii="Calibri" w:hAnsi="Calibri" w:cs="Calibri"/>
        </w:rPr>
        <w:t>musi</w:t>
      </w:r>
      <w:r>
        <w:rPr>
          <w:rFonts w:ascii="Calibri" w:hAnsi="Calibri" w:cs="Calibri"/>
        </w:rPr>
        <w:t xml:space="preserve"> odbywać się przeglądarkowo. </w:t>
      </w:r>
    </w:p>
    <w:p w14:paraId="1072B03D" w14:textId="4B2BDF5E" w:rsidR="00AD695B" w:rsidRDefault="00AD695B" w:rsidP="00AD695B">
      <w:pPr>
        <w:pStyle w:val="Akapitzlist"/>
        <w:numPr>
          <w:ilvl w:val="0"/>
          <w:numId w:val="4"/>
        </w:numPr>
        <w:spacing w:line="360" w:lineRule="auto"/>
        <w:jc w:val="both"/>
        <w:rPr>
          <w:rFonts w:ascii="Calibri" w:hAnsi="Calibri" w:cs="Calibri"/>
        </w:rPr>
      </w:pPr>
      <w:r>
        <w:rPr>
          <w:rFonts w:ascii="Calibri" w:hAnsi="Calibri" w:cs="Calibri"/>
        </w:rPr>
        <w:t xml:space="preserve">Komunikacja </w:t>
      </w:r>
      <w:r w:rsidR="00DC0745">
        <w:rPr>
          <w:rFonts w:ascii="Calibri" w:hAnsi="Calibri" w:cs="Calibri"/>
        </w:rPr>
        <w:t>musi</w:t>
      </w:r>
      <w:r>
        <w:rPr>
          <w:rFonts w:ascii="Calibri" w:hAnsi="Calibri" w:cs="Calibri"/>
        </w:rPr>
        <w:t xml:space="preserve"> być zabezpieczona protokołem SSL. </w:t>
      </w:r>
    </w:p>
    <w:p w14:paraId="3D98DDF1" w14:textId="6C47ADCD" w:rsidR="00AD695B" w:rsidRDefault="00AD695B" w:rsidP="00AD695B">
      <w:pPr>
        <w:pStyle w:val="Akapitzlist"/>
        <w:numPr>
          <w:ilvl w:val="0"/>
          <w:numId w:val="4"/>
        </w:numPr>
        <w:spacing w:line="360" w:lineRule="auto"/>
        <w:jc w:val="both"/>
        <w:rPr>
          <w:rFonts w:ascii="Calibri" w:hAnsi="Calibri" w:cs="Calibri"/>
        </w:rPr>
      </w:pPr>
      <w:r>
        <w:rPr>
          <w:rFonts w:ascii="Calibri" w:hAnsi="Calibri" w:cs="Calibri"/>
        </w:rPr>
        <w:t xml:space="preserve">Do autoryzacji na ten moment wykorzystywane powinny być konta </w:t>
      </w:r>
      <w:r w:rsidR="00262F82">
        <w:rPr>
          <w:rFonts w:ascii="Calibri" w:hAnsi="Calibri" w:cs="Calibri"/>
        </w:rPr>
        <w:t xml:space="preserve">domenowe – integracja AD lub LDAP. </w:t>
      </w:r>
      <w:r>
        <w:rPr>
          <w:rFonts w:ascii="Calibri" w:hAnsi="Calibri" w:cs="Calibri"/>
        </w:rPr>
        <w:t xml:space="preserve"> </w:t>
      </w:r>
    </w:p>
    <w:p w14:paraId="67EC104A" w14:textId="77777777" w:rsidR="00DC0745" w:rsidRDefault="00DC0745" w:rsidP="00AD695B">
      <w:pPr>
        <w:spacing w:line="360" w:lineRule="auto"/>
        <w:jc w:val="both"/>
        <w:rPr>
          <w:rFonts w:ascii="Calibri" w:hAnsi="Calibri" w:cs="Calibri"/>
        </w:rPr>
      </w:pPr>
    </w:p>
    <w:p w14:paraId="27FDA560" w14:textId="501DA54D" w:rsidR="00237109" w:rsidRPr="00A63DF3" w:rsidRDefault="00237109" w:rsidP="00237109">
      <w:pPr>
        <w:pStyle w:val="Kategoria"/>
      </w:pPr>
      <w:r>
        <w:t xml:space="preserve">Monitoring infrastruktury </w:t>
      </w:r>
    </w:p>
    <w:p w14:paraId="48BE23D3" w14:textId="77777777" w:rsidR="00237109" w:rsidRPr="00A63DF3" w:rsidRDefault="00237109" w:rsidP="00237109">
      <w:pPr>
        <w:spacing w:line="360" w:lineRule="auto"/>
        <w:jc w:val="both"/>
        <w:rPr>
          <w:rFonts w:ascii="Calibri" w:hAnsi="Calibri" w:cs="Calibri"/>
        </w:rPr>
      </w:pPr>
    </w:p>
    <w:p w14:paraId="358B60F9" w14:textId="435BDEBB" w:rsidR="00262324" w:rsidRPr="00DC0745" w:rsidRDefault="00DC0745" w:rsidP="00DC0745">
      <w:pPr>
        <w:spacing w:line="360" w:lineRule="auto"/>
        <w:jc w:val="both"/>
        <w:rPr>
          <w:rFonts w:ascii="Calibri" w:hAnsi="Calibri" w:cs="Calibri"/>
        </w:rPr>
      </w:pPr>
      <w:r>
        <w:rPr>
          <w:rFonts w:ascii="Calibri" w:hAnsi="Calibri" w:cs="Calibri"/>
        </w:rPr>
        <w:t xml:space="preserve">Oprogramowanie oraz maszyny wirtualne, na których będzie ono uruchomione muszą być monitorowane przez systemy Wazuh oraz Zabbix/Nagios/inny równorzędny. </w:t>
      </w:r>
    </w:p>
    <w:p w14:paraId="05BCB0A4" w14:textId="77777777" w:rsidR="00274B7D" w:rsidRDefault="00274B7D" w:rsidP="00262324">
      <w:pPr>
        <w:spacing w:line="360" w:lineRule="auto"/>
        <w:jc w:val="both"/>
        <w:rPr>
          <w:rFonts w:ascii="Calibri" w:hAnsi="Calibri" w:cs="Calibri"/>
        </w:rPr>
      </w:pPr>
    </w:p>
    <w:p w14:paraId="6F4D3F9A" w14:textId="20A8522A" w:rsidR="00262324" w:rsidRPr="00A63DF3" w:rsidRDefault="00262324" w:rsidP="00262324">
      <w:pPr>
        <w:pStyle w:val="Kategoria"/>
      </w:pPr>
      <w:r>
        <w:lastRenderedPageBreak/>
        <w:t xml:space="preserve">Wymagania dla </w:t>
      </w:r>
      <w:r w:rsidR="00DC0745">
        <w:t xml:space="preserve">serwerów </w:t>
      </w:r>
    </w:p>
    <w:p w14:paraId="519EA321" w14:textId="77777777" w:rsidR="00274B7D" w:rsidRDefault="00274B7D" w:rsidP="00262324">
      <w:pPr>
        <w:spacing w:line="360" w:lineRule="auto"/>
        <w:jc w:val="both"/>
        <w:rPr>
          <w:rFonts w:ascii="Calibri" w:hAnsi="Calibri" w:cs="Calibri"/>
        </w:rPr>
      </w:pPr>
    </w:p>
    <w:p w14:paraId="26470446" w14:textId="00F002A3" w:rsidR="00262324" w:rsidRDefault="00DC0745" w:rsidP="00DC0745">
      <w:pPr>
        <w:spacing w:line="360" w:lineRule="auto"/>
        <w:jc w:val="both"/>
        <w:rPr>
          <w:rFonts w:ascii="Calibri" w:hAnsi="Calibri" w:cs="Calibri"/>
        </w:rPr>
      </w:pPr>
      <w:r>
        <w:rPr>
          <w:rFonts w:ascii="Calibri" w:hAnsi="Calibri" w:cs="Calibri"/>
        </w:rPr>
        <w:t xml:space="preserve">Dostawca oprogramowania musi jasno zdefiniować wymagania dla serwera lub serwerów, na których zainstalowane ma zostać dostarczane oprogramowanie. </w:t>
      </w:r>
    </w:p>
    <w:p w14:paraId="5C8EC89A" w14:textId="2A1024DB" w:rsidR="004E6CA7" w:rsidRDefault="00DC0745" w:rsidP="00274B7D">
      <w:pPr>
        <w:spacing w:line="360" w:lineRule="auto"/>
        <w:jc w:val="both"/>
        <w:rPr>
          <w:rFonts w:ascii="Calibri" w:hAnsi="Calibri" w:cs="Calibri"/>
        </w:rPr>
      </w:pPr>
      <w:r>
        <w:rPr>
          <w:rFonts w:ascii="Calibri" w:hAnsi="Calibri" w:cs="Calibri"/>
        </w:rPr>
        <w:t xml:space="preserve">Dostawca musi także wskazać wersje silnika bazodanowego wymaganego do instalacji oprogramowania i utrzymania bazy danych oprogramowania. </w:t>
      </w:r>
      <w:r w:rsidR="00262F82">
        <w:rPr>
          <w:rFonts w:ascii="Calibri" w:hAnsi="Calibri" w:cs="Calibri"/>
        </w:rPr>
        <w:t xml:space="preserve">Odbiorca preferuje silniki bazy danych, które nie generują dodatkowych kosztów licencyjnych. </w:t>
      </w:r>
    </w:p>
    <w:p w14:paraId="1B934166" w14:textId="77777777" w:rsidR="004E6CA7" w:rsidRDefault="004E6CA7" w:rsidP="00274B7D">
      <w:pPr>
        <w:spacing w:line="360" w:lineRule="auto"/>
        <w:jc w:val="both"/>
        <w:rPr>
          <w:rFonts w:ascii="Calibri" w:hAnsi="Calibri" w:cs="Calibri"/>
        </w:rPr>
      </w:pPr>
    </w:p>
    <w:p w14:paraId="1EBFBE3B" w14:textId="26B4BCC1" w:rsidR="004E6CA7" w:rsidRPr="00A63DF3" w:rsidRDefault="00DB5B08" w:rsidP="004E6CA7">
      <w:pPr>
        <w:pStyle w:val="Kategoria"/>
      </w:pPr>
      <w:r>
        <w:t>Minimalne wymagania</w:t>
      </w:r>
      <w:r w:rsidR="004E6CA7">
        <w:t xml:space="preserve"> dotyczące kopii zapasowych</w:t>
      </w:r>
    </w:p>
    <w:p w14:paraId="3CF1AD75" w14:textId="77777777" w:rsidR="004E6CA7" w:rsidRDefault="004E6CA7" w:rsidP="004E6CA7">
      <w:pPr>
        <w:spacing w:line="360" w:lineRule="auto"/>
        <w:jc w:val="both"/>
        <w:rPr>
          <w:rFonts w:ascii="Calibri" w:hAnsi="Calibri" w:cs="Calibri"/>
        </w:rPr>
      </w:pPr>
    </w:p>
    <w:p w14:paraId="5EE7EBD1" w14:textId="33865AA1" w:rsidR="004E6CA7" w:rsidRDefault="00DC0745" w:rsidP="004E6CA7">
      <w:pPr>
        <w:spacing w:line="360" w:lineRule="auto"/>
        <w:jc w:val="both"/>
        <w:rPr>
          <w:rFonts w:ascii="Calibri" w:hAnsi="Calibri" w:cs="Calibri"/>
        </w:rPr>
      </w:pPr>
      <w:r>
        <w:rPr>
          <w:rFonts w:ascii="Calibri" w:hAnsi="Calibri" w:cs="Calibri"/>
        </w:rPr>
        <w:t>Zalecenia dla kopii zapasowych</w:t>
      </w:r>
      <w:r w:rsidR="00DB5B08">
        <w:rPr>
          <w:rFonts w:ascii="Calibri" w:hAnsi="Calibri" w:cs="Calibri"/>
        </w:rPr>
        <w:t xml:space="preserve">: </w:t>
      </w:r>
    </w:p>
    <w:p w14:paraId="3C73C824" w14:textId="30764338" w:rsidR="00DC0745" w:rsidRPr="00DC0745" w:rsidRDefault="00DC0745" w:rsidP="00DC0745">
      <w:pPr>
        <w:pStyle w:val="Akapitzlist"/>
        <w:numPr>
          <w:ilvl w:val="0"/>
          <w:numId w:val="8"/>
        </w:numPr>
        <w:spacing w:line="360" w:lineRule="auto"/>
        <w:jc w:val="both"/>
        <w:rPr>
          <w:rFonts w:ascii="Calibri" w:hAnsi="Calibri" w:cs="Calibri"/>
        </w:rPr>
      </w:pPr>
      <w:r>
        <w:rPr>
          <w:rFonts w:ascii="Calibri" w:hAnsi="Calibri" w:cs="Calibri"/>
        </w:rPr>
        <w:t>automatyczna kopia plików co 1 godzinę, przechowywanie kopii plików na odseparowanym logicznie i fizycznie nośniku</w:t>
      </w:r>
      <w:r w:rsidR="00626F65">
        <w:rPr>
          <w:rFonts w:ascii="Calibri" w:hAnsi="Calibri" w:cs="Calibri"/>
        </w:rPr>
        <w:t>;</w:t>
      </w:r>
    </w:p>
    <w:p w14:paraId="6638688A" w14:textId="72CF780E" w:rsidR="007C551E" w:rsidRDefault="00DB5B08" w:rsidP="007C551E">
      <w:pPr>
        <w:pStyle w:val="Akapitzlist"/>
        <w:numPr>
          <w:ilvl w:val="0"/>
          <w:numId w:val="8"/>
        </w:numPr>
        <w:spacing w:line="360" w:lineRule="auto"/>
        <w:jc w:val="both"/>
        <w:rPr>
          <w:rFonts w:ascii="Calibri" w:hAnsi="Calibri" w:cs="Calibri"/>
        </w:rPr>
      </w:pPr>
      <w:r>
        <w:rPr>
          <w:rFonts w:ascii="Calibri" w:hAnsi="Calibri" w:cs="Calibri"/>
        </w:rPr>
        <w:t xml:space="preserve">wykonywanie pełnej kopii zapasowej bazy danych codziennie w </w:t>
      </w:r>
      <w:r w:rsidR="00DC0745">
        <w:rPr>
          <w:rFonts w:ascii="Calibri" w:hAnsi="Calibri" w:cs="Calibri"/>
        </w:rPr>
        <w:t>godzinach</w:t>
      </w:r>
      <w:r>
        <w:rPr>
          <w:rFonts w:ascii="Calibri" w:hAnsi="Calibri" w:cs="Calibri"/>
        </w:rPr>
        <w:t xml:space="preserve"> wieczornych, przechowywanie kopii zapasowej bazy danych na odseparowanym logicznie i fizycznie nośniku (np. SMB udostępnione z </w:t>
      </w:r>
      <w:r w:rsidR="00DC0745">
        <w:rPr>
          <w:rFonts w:ascii="Calibri" w:hAnsi="Calibri" w:cs="Calibri"/>
        </w:rPr>
        <w:t>poziomu</w:t>
      </w:r>
      <w:r>
        <w:rPr>
          <w:rFonts w:ascii="Calibri" w:hAnsi="Calibri" w:cs="Calibri"/>
        </w:rPr>
        <w:t xml:space="preserve"> innej lokalizacji fizycznej datacenter)</w:t>
      </w:r>
      <w:r w:rsidR="00626F65">
        <w:rPr>
          <w:rFonts w:ascii="Calibri" w:hAnsi="Calibri" w:cs="Calibri"/>
        </w:rPr>
        <w:t>;</w:t>
      </w:r>
    </w:p>
    <w:p w14:paraId="48C8C9F2" w14:textId="2D20D667" w:rsidR="007C551E" w:rsidRDefault="007C551E" w:rsidP="007C551E">
      <w:pPr>
        <w:pStyle w:val="Akapitzlist"/>
        <w:numPr>
          <w:ilvl w:val="0"/>
          <w:numId w:val="8"/>
        </w:numPr>
        <w:spacing w:line="360" w:lineRule="auto"/>
        <w:jc w:val="both"/>
        <w:rPr>
          <w:rFonts w:ascii="Calibri" w:hAnsi="Calibri" w:cs="Calibri"/>
        </w:rPr>
      </w:pPr>
      <w:r>
        <w:rPr>
          <w:rFonts w:ascii="Calibri" w:hAnsi="Calibri" w:cs="Calibri"/>
        </w:rPr>
        <w:t xml:space="preserve">przechowywanie </w:t>
      </w:r>
      <w:r w:rsidR="009B7E7B">
        <w:rPr>
          <w:rFonts w:ascii="Calibri" w:hAnsi="Calibri" w:cs="Calibri"/>
        </w:rPr>
        <w:t>kopii bazy danych minimum 2 miesiące</w:t>
      </w:r>
      <w:r w:rsidR="00DC0745">
        <w:rPr>
          <w:rFonts w:ascii="Calibri" w:hAnsi="Calibri" w:cs="Calibri"/>
        </w:rPr>
        <w:t>;</w:t>
      </w:r>
    </w:p>
    <w:p w14:paraId="53BD4A33" w14:textId="0188A685" w:rsidR="00DC0745" w:rsidRDefault="00DC0745" w:rsidP="00DC0745">
      <w:pPr>
        <w:pStyle w:val="Akapitzlist"/>
        <w:numPr>
          <w:ilvl w:val="0"/>
          <w:numId w:val="8"/>
        </w:numPr>
        <w:spacing w:line="360" w:lineRule="auto"/>
        <w:jc w:val="both"/>
        <w:rPr>
          <w:rFonts w:ascii="Calibri" w:hAnsi="Calibri" w:cs="Calibri"/>
        </w:rPr>
      </w:pPr>
      <w:r>
        <w:rPr>
          <w:rFonts w:ascii="Calibri" w:hAnsi="Calibri" w:cs="Calibri"/>
        </w:rPr>
        <w:t>codzienna pełna kopia maszyn wirtualnych, przechowywanie minimum 14 ostatnich kopii maszyn wirtualnych</w:t>
      </w:r>
      <w:r w:rsidR="00626F65">
        <w:rPr>
          <w:rFonts w:ascii="Calibri" w:hAnsi="Calibri" w:cs="Calibri"/>
        </w:rPr>
        <w:t>;</w:t>
      </w:r>
    </w:p>
    <w:p w14:paraId="1F0414A6" w14:textId="6A174187" w:rsidR="00DC0745" w:rsidRPr="007C551E" w:rsidRDefault="00DC0745" w:rsidP="007C551E">
      <w:pPr>
        <w:pStyle w:val="Akapitzlist"/>
        <w:numPr>
          <w:ilvl w:val="0"/>
          <w:numId w:val="8"/>
        </w:numPr>
        <w:spacing w:line="360" w:lineRule="auto"/>
        <w:jc w:val="both"/>
        <w:rPr>
          <w:rFonts w:ascii="Calibri" w:hAnsi="Calibri" w:cs="Calibri"/>
        </w:rPr>
      </w:pPr>
      <w:r>
        <w:rPr>
          <w:rFonts w:ascii="Calibri" w:hAnsi="Calibri" w:cs="Calibri"/>
        </w:rPr>
        <w:t xml:space="preserve">wykorzystanie mechanizmu HA na serwerze wirtualizacji. </w:t>
      </w:r>
    </w:p>
    <w:p w14:paraId="06497AF5" w14:textId="77777777" w:rsidR="009B7E7B" w:rsidRPr="00262F82" w:rsidRDefault="009B7E7B" w:rsidP="00262F82">
      <w:pPr>
        <w:spacing w:line="360" w:lineRule="auto"/>
        <w:jc w:val="both"/>
        <w:rPr>
          <w:rFonts w:ascii="Calibri" w:hAnsi="Calibri" w:cs="Calibri"/>
        </w:rPr>
      </w:pPr>
    </w:p>
    <w:p w14:paraId="4922437E" w14:textId="77777777" w:rsidR="007C551E" w:rsidRDefault="007C551E" w:rsidP="007C551E">
      <w:pPr>
        <w:spacing w:line="360" w:lineRule="auto"/>
        <w:jc w:val="both"/>
        <w:rPr>
          <w:rFonts w:ascii="Calibri" w:hAnsi="Calibri" w:cs="Calibri"/>
        </w:rPr>
      </w:pPr>
    </w:p>
    <w:p w14:paraId="0B9C3F89" w14:textId="1CFC97DA" w:rsidR="006B31F3" w:rsidRPr="00A63DF3" w:rsidRDefault="006B31F3" w:rsidP="006B31F3">
      <w:pPr>
        <w:pStyle w:val="Kategoria"/>
      </w:pPr>
      <w:r>
        <w:t>Pozostałe rekomendacje dotyczące bezpieczeństwa</w:t>
      </w:r>
      <w:r w:rsidR="007D21E6">
        <w:t xml:space="preserve"> technicznego</w:t>
      </w:r>
    </w:p>
    <w:p w14:paraId="043E1615" w14:textId="77777777" w:rsidR="006B31F3" w:rsidRDefault="006B31F3" w:rsidP="006B31F3">
      <w:pPr>
        <w:spacing w:line="360" w:lineRule="auto"/>
        <w:jc w:val="both"/>
        <w:rPr>
          <w:rFonts w:ascii="Calibri" w:hAnsi="Calibri" w:cs="Calibri"/>
        </w:rPr>
      </w:pPr>
    </w:p>
    <w:p w14:paraId="7C570AE2" w14:textId="77777777" w:rsidR="00E55463" w:rsidRPr="00E55463" w:rsidRDefault="00E55463" w:rsidP="00E55463">
      <w:pPr>
        <w:pStyle w:val="Default"/>
        <w:numPr>
          <w:ilvl w:val="0"/>
          <w:numId w:val="10"/>
        </w:numPr>
        <w:spacing w:line="360" w:lineRule="auto"/>
        <w:jc w:val="both"/>
        <w:rPr>
          <w:rFonts w:ascii="Calibri" w:hAnsi="Calibri"/>
          <w:b/>
          <w:bCs/>
          <w:color w:val="auto"/>
        </w:rPr>
      </w:pPr>
      <w:r w:rsidRPr="00E55463">
        <w:rPr>
          <w:rFonts w:ascii="Calibri" w:eastAsia="Times New Roman" w:hAnsi="Calibri"/>
          <w:b/>
          <w:bCs/>
        </w:rPr>
        <w:t xml:space="preserve">Wymagania Techniczne – </w:t>
      </w:r>
      <w:r w:rsidRPr="00E55463">
        <w:rPr>
          <w:rFonts w:ascii="Calibri" w:hAnsi="Calibri"/>
          <w:b/>
          <w:bCs/>
          <w:color w:val="auto"/>
        </w:rPr>
        <w:t>dostęp do środowiska serwerowego</w:t>
      </w:r>
    </w:p>
    <w:p w14:paraId="32496A6D" w14:textId="1B16AF0C" w:rsidR="00E55463" w:rsidRPr="00E55463" w:rsidRDefault="00E55463" w:rsidP="00E55463">
      <w:pPr>
        <w:pStyle w:val="Standard"/>
        <w:spacing w:line="360" w:lineRule="auto"/>
        <w:ind w:left="709"/>
        <w:jc w:val="both"/>
        <w:rPr>
          <w:rFonts w:ascii="Calibri" w:eastAsia="ąĹ" w:hAnsi="Calibri" w:cs="Tahoma"/>
          <w:kern w:val="0"/>
          <w:lang w:eastAsia="pl-PL" w:bidi="ar-SA"/>
        </w:rPr>
      </w:pPr>
      <w:r w:rsidRPr="00E55463">
        <w:rPr>
          <w:rFonts w:ascii="Calibri" w:eastAsia="ąĹ" w:hAnsi="Calibri" w:cs="Tahoma"/>
          <w:kern w:val="0"/>
          <w:lang w:eastAsia="pl-PL" w:bidi="ar-SA"/>
        </w:rPr>
        <w:t xml:space="preserve">Dostęp administracyjny do </w:t>
      </w:r>
      <w:r>
        <w:rPr>
          <w:rFonts w:ascii="Calibri" w:eastAsia="ąĹ" w:hAnsi="Calibri" w:cs="Tahoma"/>
          <w:kern w:val="0"/>
          <w:lang w:eastAsia="pl-PL" w:bidi="ar-SA"/>
        </w:rPr>
        <w:t>serwerów</w:t>
      </w:r>
      <w:r w:rsidRPr="00E55463">
        <w:rPr>
          <w:rFonts w:ascii="Calibri" w:eastAsia="ąĹ" w:hAnsi="Calibri" w:cs="Tahoma"/>
          <w:kern w:val="0"/>
          <w:lang w:eastAsia="pl-PL" w:bidi="ar-SA"/>
        </w:rPr>
        <w:t xml:space="preserve"> realizowany będzie poprzez usługi zdalnego pulpitu Windows</w:t>
      </w:r>
      <w:r w:rsidR="00626F65">
        <w:rPr>
          <w:rFonts w:ascii="Calibri" w:eastAsia="ąĹ" w:hAnsi="Calibri" w:cs="Tahoma"/>
          <w:kern w:val="0"/>
          <w:lang w:eastAsia="pl-PL" w:bidi="ar-SA"/>
        </w:rPr>
        <w:t xml:space="preserve"> lub SSH dla Linux</w:t>
      </w:r>
      <w:r w:rsidRPr="00E55463">
        <w:rPr>
          <w:rFonts w:ascii="Calibri" w:eastAsia="ąĹ" w:hAnsi="Calibri" w:cs="Tahoma"/>
          <w:kern w:val="0"/>
          <w:lang w:eastAsia="pl-PL" w:bidi="ar-SA"/>
        </w:rPr>
        <w:t>. Wymogiem koniecznym dla zapewnienia bezpieczeństwa danych jest odpowiednie zabezpieczenie dostępu do serwera z sieci publicznej. Może to być zrealizowane np. poprzez</w:t>
      </w:r>
      <w:r w:rsidR="00626F65">
        <w:rPr>
          <w:rFonts w:ascii="Calibri" w:eastAsia="ąĹ" w:hAnsi="Calibri" w:cs="Tahoma"/>
          <w:kern w:val="0"/>
          <w:lang w:eastAsia="pl-PL" w:bidi="ar-SA"/>
        </w:rPr>
        <w:t xml:space="preserve"> zestawienie tunelu VPN</w:t>
      </w:r>
      <w:r w:rsidRPr="00E55463">
        <w:rPr>
          <w:rFonts w:ascii="Calibri" w:eastAsia="ąĹ" w:hAnsi="Calibri" w:cs="Tahoma"/>
          <w:kern w:val="0"/>
          <w:lang w:eastAsia="pl-PL" w:bidi="ar-SA"/>
        </w:rPr>
        <w:t xml:space="preserve">. Jako dane uwierzytelniające należy stosować wyłącznie mocne hasła i dokonywać ich cyklicznej </w:t>
      </w:r>
      <w:r w:rsidRPr="00E55463">
        <w:rPr>
          <w:rFonts w:ascii="Calibri" w:eastAsia="ąĹ" w:hAnsi="Calibri" w:cs="Tahoma"/>
          <w:kern w:val="0"/>
          <w:lang w:eastAsia="pl-PL" w:bidi="ar-SA"/>
        </w:rPr>
        <w:lastRenderedPageBreak/>
        <w:t>zmiany. Porty nieużywane przez żadną z usług zainstalowanych na serwerze muszą być zablokowane.</w:t>
      </w:r>
    </w:p>
    <w:p w14:paraId="018A3D57" w14:textId="77777777" w:rsidR="00E55463" w:rsidRPr="00E55463" w:rsidRDefault="00E55463" w:rsidP="00E55463">
      <w:pPr>
        <w:pStyle w:val="Standard"/>
        <w:spacing w:line="360" w:lineRule="auto"/>
        <w:jc w:val="both"/>
        <w:rPr>
          <w:rFonts w:ascii="Calibri" w:eastAsia="ąĹ" w:hAnsi="Calibri" w:cs="Tahoma"/>
          <w:kern w:val="0"/>
          <w:lang w:eastAsia="pl-PL" w:bidi="ar-SA"/>
        </w:rPr>
      </w:pPr>
    </w:p>
    <w:p w14:paraId="2F5FE6AF" w14:textId="77777777" w:rsidR="00E55463" w:rsidRPr="00E55463" w:rsidRDefault="00E55463" w:rsidP="00E55463">
      <w:pPr>
        <w:pStyle w:val="Default"/>
        <w:numPr>
          <w:ilvl w:val="0"/>
          <w:numId w:val="10"/>
        </w:numPr>
        <w:spacing w:line="360" w:lineRule="auto"/>
        <w:jc w:val="both"/>
        <w:rPr>
          <w:rFonts w:ascii="Calibri" w:hAnsi="Calibri"/>
          <w:b/>
          <w:bCs/>
          <w:color w:val="auto"/>
        </w:rPr>
      </w:pPr>
      <w:r w:rsidRPr="00E55463">
        <w:rPr>
          <w:rFonts w:ascii="Calibri" w:hAnsi="Calibri"/>
          <w:b/>
          <w:bCs/>
          <w:color w:val="auto"/>
        </w:rPr>
        <w:t>Rekomendacje – wymiana informacji</w:t>
      </w:r>
    </w:p>
    <w:p w14:paraId="0D218445" w14:textId="3E4AD2DA" w:rsidR="00E55463" w:rsidRPr="00E55463" w:rsidRDefault="00E55463" w:rsidP="00E55463">
      <w:pPr>
        <w:pStyle w:val="Standard"/>
        <w:spacing w:line="360" w:lineRule="auto"/>
        <w:ind w:left="709"/>
        <w:jc w:val="both"/>
        <w:rPr>
          <w:rFonts w:ascii="Calibri" w:eastAsia="ąĹ" w:hAnsi="Calibri" w:cs="Tahoma"/>
          <w:kern w:val="0"/>
          <w:lang w:eastAsia="pl-PL" w:bidi="ar-SA"/>
        </w:rPr>
      </w:pPr>
      <w:r w:rsidRPr="00E55463">
        <w:rPr>
          <w:rFonts w:ascii="Calibri" w:eastAsia="ąĹ" w:hAnsi="Calibri" w:cs="Tahoma"/>
          <w:kern w:val="0"/>
          <w:lang w:eastAsia="pl-PL" w:bidi="ar-SA"/>
        </w:rPr>
        <w:t xml:space="preserve">Przekazywanie danych dostępowych pomiędzy Wykonawcą a </w:t>
      </w:r>
      <w:r>
        <w:rPr>
          <w:rFonts w:ascii="Calibri" w:eastAsia="ąĹ" w:hAnsi="Calibri" w:cs="Tahoma"/>
          <w:kern w:val="0"/>
          <w:lang w:eastAsia="pl-PL" w:bidi="ar-SA"/>
        </w:rPr>
        <w:t>Odbiorcą</w:t>
      </w:r>
      <w:r w:rsidRPr="00E55463">
        <w:rPr>
          <w:rFonts w:ascii="Calibri" w:eastAsia="ąĹ" w:hAnsi="Calibri" w:cs="Tahoma"/>
          <w:kern w:val="0"/>
          <w:lang w:eastAsia="pl-PL" w:bidi="ar-SA"/>
        </w:rPr>
        <w:t>, haseł lub innych informacji o charakterze niejawnym powinno być każdorazowo realizowane przy zachowaniu należytych zasad ochrony informacji. Jednym ze sposobów bezpiecznego przekazywania informacji oraz plików jest ich szyfrowanie oraz używanie wyłącznie mocnych haseł przekazywanych odrębnym kanałem (np. sms).</w:t>
      </w:r>
    </w:p>
    <w:p w14:paraId="59DC0EFD" w14:textId="77777777" w:rsidR="00E55463" w:rsidRPr="00E55463" w:rsidRDefault="00E55463" w:rsidP="00E55463">
      <w:pPr>
        <w:pStyle w:val="Standard"/>
        <w:spacing w:line="360" w:lineRule="auto"/>
        <w:ind w:left="709"/>
        <w:jc w:val="both"/>
        <w:rPr>
          <w:rFonts w:ascii="Calibri" w:eastAsia="ąĹ" w:hAnsi="Calibri" w:cs="Tahoma"/>
          <w:kern w:val="0"/>
          <w:lang w:eastAsia="pl-PL" w:bidi="ar-SA"/>
        </w:rPr>
      </w:pPr>
    </w:p>
    <w:p w14:paraId="6A37DFC7" w14:textId="13EDF599" w:rsidR="00E55463" w:rsidRPr="00E55463" w:rsidRDefault="00E55463" w:rsidP="00E55463">
      <w:pPr>
        <w:pStyle w:val="Standard"/>
        <w:spacing w:line="360" w:lineRule="auto"/>
        <w:ind w:left="709"/>
        <w:jc w:val="both"/>
        <w:rPr>
          <w:rFonts w:ascii="Calibri" w:eastAsia="ąĹ" w:hAnsi="Calibri" w:cs="Tahoma"/>
          <w:kern w:val="0"/>
          <w:lang w:eastAsia="pl-PL" w:bidi="ar-SA"/>
        </w:rPr>
      </w:pPr>
      <w:r w:rsidRPr="00E55463">
        <w:rPr>
          <w:rFonts w:ascii="Calibri" w:eastAsia="ąĹ" w:hAnsi="Calibri" w:cs="Tahoma"/>
          <w:kern w:val="0"/>
          <w:lang w:eastAsia="pl-PL" w:bidi="ar-SA"/>
        </w:rPr>
        <w:t>Wymiana danych pomiędzy Oprogramowaniem, a innymi systemami w tej samej strefie przetwarzania lub poza nią musi być zabezpieczona odpowiednim protokołem szyfrującym oraz mocnym hasłem.</w:t>
      </w:r>
    </w:p>
    <w:p w14:paraId="3FC335C1" w14:textId="77777777" w:rsidR="00E55463" w:rsidRPr="00E55463" w:rsidRDefault="00E55463" w:rsidP="00E55463">
      <w:pPr>
        <w:spacing w:line="360" w:lineRule="auto"/>
        <w:jc w:val="both"/>
      </w:pPr>
    </w:p>
    <w:p w14:paraId="3EF20168" w14:textId="77777777" w:rsidR="00E55463" w:rsidRPr="00E55463" w:rsidRDefault="00E55463" w:rsidP="00E55463">
      <w:pPr>
        <w:pStyle w:val="Default"/>
        <w:numPr>
          <w:ilvl w:val="0"/>
          <w:numId w:val="10"/>
        </w:numPr>
        <w:spacing w:line="360" w:lineRule="auto"/>
        <w:jc w:val="both"/>
        <w:rPr>
          <w:rFonts w:ascii="Calibri" w:hAnsi="Calibri"/>
          <w:b/>
          <w:bCs/>
          <w:color w:val="auto"/>
        </w:rPr>
      </w:pPr>
      <w:r w:rsidRPr="00E55463">
        <w:rPr>
          <w:rFonts w:ascii="Calibri" w:hAnsi="Calibri"/>
          <w:b/>
          <w:bCs/>
          <w:color w:val="auto"/>
        </w:rPr>
        <w:t>Rekomendacje – zabezpieczenie urządzeń</w:t>
      </w:r>
    </w:p>
    <w:p w14:paraId="19C9B767" w14:textId="4DE33BD6" w:rsidR="004E6CA7" w:rsidRPr="00757B1A" w:rsidRDefault="00626F65" w:rsidP="00757B1A">
      <w:pPr>
        <w:pStyle w:val="Akapitzlist"/>
        <w:spacing w:line="360" w:lineRule="auto"/>
        <w:jc w:val="both"/>
        <w:rPr>
          <w:rFonts w:ascii="Calibri" w:eastAsia="ąĹ" w:hAnsi="Calibri" w:cs="Tahoma"/>
          <w:sz w:val="20"/>
          <w:szCs w:val="20"/>
        </w:rPr>
      </w:pPr>
      <w:r>
        <w:rPr>
          <w:rFonts w:ascii="Calibri" w:eastAsia="ąĹ" w:hAnsi="Calibri" w:cs="Tahoma"/>
        </w:rPr>
        <w:t>Z</w:t>
      </w:r>
      <w:r w:rsidR="00E55463" w:rsidRPr="00E55463">
        <w:rPr>
          <w:rFonts w:ascii="Calibri" w:eastAsia="ąĹ" w:hAnsi="Calibri" w:cs="Tahoma"/>
        </w:rPr>
        <w:t>aleca</w:t>
      </w:r>
      <w:r>
        <w:rPr>
          <w:rFonts w:ascii="Calibri" w:eastAsia="ąĹ" w:hAnsi="Calibri" w:cs="Tahoma"/>
        </w:rPr>
        <w:t xml:space="preserve"> się</w:t>
      </w:r>
      <w:r w:rsidR="00E55463" w:rsidRPr="00E55463">
        <w:rPr>
          <w:rFonts w:ascii="Calibri" w:eastAsia="ąĹ" w:hAnsi="Calibri" w:cs="Tahoma"/>
        </w:rPr>
        <w:t xml:space="preserve">, aby urządzenia, na których pracują użytkownicy łączący się z Oprogramowaniem posiadały aktywną ochronę antywirusową, ochronę zapory (firewall) oraz cyklicznie zmieniane hasło dostępu. Ponadto ryzyko zainfekowania komputera przez złośliwe oprogramowanie jest minimalizowane w sytuacji, gdy użytkownicy nie pracują na koncie posiadającym uprawnienia administracyjne oraz gdy możliwość instalowania oprogramowania z nieznanych źródeł została zablokowana przez administratora. </w:t>
      </w:r>
      <w:r>
        <w:rPr>
          <w:rFonts w:ascii="Calibri" w:eastAsia="ąĹ" w:hAnsi="Calibri" w:cs="Tahoma"/>
        </w:rPr>
        <w:t>Zaleca się także z</w:t>
      </w:r>
      <w:r w:rsidR="00E55463" w:rsidRPr="00E55463">
        <w:rPr>
          <w:rFonts w:ascii="Calibri" w:eastAsia="ąĹ" w:hAnsi="Calibri" w:cs="Tahoma"/>
        </w:rPr>
        <w:t xml:space="preserve">zyfrowanie urządzeń poprzez programy kryptograficzne </w:t>
      </w:r>
      <w:r>
        <w:rPr>
          <w:rFonts w:ascii="Calibri" w:eastAsia="ąĹ" w:hAnsi="Calibri" w:cs="Tahoma"/>
        </w:rPr>
        <w:t xml:space="preserve">co </w:t>
      </w:r>
      <w:r w:rsidR="00E55463" w:rsidRPr="00E55463">
        <w:rPr>
          <w:rFonts w:ascii="Calibri" w:eastAsia="ąĹ" w:hAnsi="Calibri" w:cs="Tahoma"/>
        </w:rPr>
        <w:t xml:space="preserve">uniemożliwia potencjalnemu złodziejowi dostęp do danych znajdujących się na urządzeniu oraz danych, do których może uzyskać dostęp poprzez np. zapisane w przeglądarce uwierzytelnienia. </w:t>
      </w:r>
    </w:p>
    <w:p w14:paraId="018DE7F1" w14:textId="77777777" w:rsidR="00262324" w:rsidRDefault="00262324" w:rsidP="00262324">
      <w:pPr>
        <w:spacing w:line="360" w:lineRule="auto"/>
        <w:jc w:val="both"/>
        <w:rPr>
          <w:rFonts w:ascii="Calibri" w:hAnsi="Calibri" w:cs="Calibri"/>
        </w:rPr>
      </w:pPr>
    </w:p>
    <w:p w14:paraId="3903EA5A" w14:textId="7700AD49" w:rsidR="007D21E6" w:rsidRPr="00A63DF3" w:rsidRDefault="007D21E6" w:rsidP="007D21E6">
      <w:pPr>
        <w:pStyle w:val="Kategoria"/>
      </w:pPr>
      <w:r>
        <w:t>Wymagania dotyczące bezpieczeństwa – system informatyczny</w:t>
      </w:r>
    </w:p>
    <w:p w14:paraId="6642566F" w14:textId="77777777" w:rsidR="007D21E6" w:rsidRDefault="007D21E6" w:rsidP="007D21E6">
      <w:pPr>
        <w:spacing w:line="360" w:lineRule="auto"/>
        <w:jc w:val="both"/>
        <w:rPr>
          <w:rFonts w:ascii="Calibri" w:hAnsi="Calibri" w:cs="Calibri"/>
        </w:rPr>
      </w:pPr>
    </w:p>
    <w:p w14:paraId="57C9A260" w14:textId="77777777"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Dostęp do danych jest możliwy tylko dla kont, które przeszły poprawne uwierzytelnienie. </w:t>
      </w:r>
    </w:p>
    <w:p w14:paraId="6D671A4F" w14:textId="7A8D2C8B"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lastRenderedPageBreak/>
        <w:t xml:space="preserve">Rozwiązanie </w:t>
      </w:r>
      <w:r w:rsidR="00626F65">
        <w:rPr>
          <w:rFonts w:ascii="Calibri" w:hAnsi="Calibri" w:cs="Calibri"/>
        </w:rPr>
        <w:t>musi umożliwiać</w:t>
      </w:r>
      <w:r w:rsidRPr="007D21E6">
        <w:rPr>
          <w:rFonts w:ascii="Calibri" w:hAnsi="Calibri" w:cs="Calibri"/>
        </w:rPr>
        <w:t xml:space="preserve"> zarządzanie uprawnieniami użytkowników poprzez mechanizm ról i grup. </w:t>
      </w:r>
    </w:p>
    <w:p w14:paraId="276935F2" w14:textId="67321D4A"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w:t>
      </w:r>
      <w:r w:rsidR="00262F82">
        <w:rPr>
          <w:rFonts w:ascii="Calibri" w:hAnsi="Calibri" w:cs="Calibri"/>
        </w:rPr>
        <w:t>powinno</w:t>
      </w:r>
      <w:r w:rsidR="00626F65">
        <w:rPr>
          <w:rFonts w:ascii="Calibri" w:hAnsi="Calibri" w:cs="Calibri"/>
        </w:rPr>
        <w:t xml:space="preserve"> zapewniać</w:t>
      </w:r>
      <w:r w:rsidRPr="007D21E6">
        <w:rPr>
          <w:rFonts w:ascii="Calibri" w:hAnsi="Calibri" w:cs="Calibri"/>
        </w:rPr>
        <w:t xml:space="preserve"> dwuetapowe (MFA) uwierzytelnianie (bramka SMS, certyfikat lub aplikacja do generowania kodów). </w:t>
      </w:r>
    </w:p>
    <w:p w14:paraId="0A475850" w14:textId="23AD540F"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w:t>
      </w:r>
      <w:r w:rsidR="00262F82">
        <w:rPr>
          <w:rFonts w:ascii="Calibri" w:hAnsi="Calibri" w:cs="Calibri"/>
        </w:rPr>
        <w:t>musi</w:t>
      </w:r>
      <w:r w:rsidR="00626F65">
        <w:rPr>
          <w:rFonts w:ascii="Calibri" w:hAnsi="Calibri" w:cs="Calibri"/>
        </w:rPr>
        <w:t xml:space="preserve"> umożliwiać</w:t>
      </w:r>
      <w:r w:rsidRPr="007D21E6">
        <w:rPr>
          <w:rFonts w:ascii="Calibri" w:hAnsi="Calibri" w:cs="Calibri"/>
        </w:rPr>
        <w:t xml:space="preserve"> logowanie poprzez poświadczenia domenowe (integracja z AD lub LDAP). </w:t>
      </w:r>
    </w:p>
    <w:p w14:paraId="062A441A" w14:textId="0F8F37A1"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nie </w:t>
      </w:r>
      <w:r w:rsidR="00626F65">
        <w:rPr>
          <w:rFonts w:ascii="Calibri" w:hAnsi="Calibri" w:cs="Calibri"/>
        </w:rPr>
        <w:t>może przechowywać jakichkolwiek</w:t>
      </w:r>
      <w:r w:rsidRPr="007D21E6">
        <w:rPr>
          <w:rFonts w:ascii="Calibri" w:hAnsi="Calibri" w:cs="Calibri"/>
        </w:rPr>
        <w:t xml:space="preserve"> haseł w formie niezaszyfrowanej w bazie danych. </w:t>
      </w:r>
    </w:p>
    <w:p w14:paraId="48ACD9BD" w14:textId="4B37E7CA"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w:t>
      </w:r>
      <w:r w:rsidR="00626F65">
        <w:rPr>
          <w:rFonts w:ascii="Calibri" w:hAnsi="Calibri" w:cs="Calibri"/>
        </w:rPr>
        <w:t>powinno umożliwiać</w:t>
      </w:r>
      <w:r w:rsidRPr="007D21E6">
        <w:rPr>
          <w:rFonts w:ascii="Calibri" w:hAnsi="Calibri" w:cs="Calibri"/>
        </w:rPr>
        <w:t xml:space="preserve"> ustawienie maksymalnej wielkości pliku wprowadzanego do systemu. </w:t>
      </w:r>
    </w:p>
    <w:p w14:paraId="2A2A0AA5" w14:textId="127D1FDA"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Dostawca rozwiązania musi dostarczyć procedurę </w:t>
      </w:r>
      <w:r w:rsidR="00262F82">
        <w:rPr>
          <w:rFonts w:ascii="Calibri" w:hAnsi="Calibri" w:cs="Calibri"/>
        </w:rPr>
        <w:t xml:space="preserve">/ instrukcję / dokumentację </w:t>
      </w:r>
      <w:r w:rsidRPr="007D21E6">
        <w:rPr>
          <w:rFonts w:ascii="Calibri" w:hAnsi="Calibri" w:cs="Calibri"/>
        </w:rPr>
        <w:t xml:space="preserve">przywracania systemu z kopii zapasowej po awarii. </w:t>
      </w:r>
    </w:p>
    <w:p w14:paraId="29E71B08" w14:textId="437054B9"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w:t>
      </w:r>
      <w:r w:rsidR="00626F65">
        <w:rPr>
          <w:rFonts w:ascii="Calibri" w:hAnsi="Calibri" w:cs="Calibri"/>
        </w:rPr>
        <w:t>musi być w pełni</w:t>
      </w:r>
      <w:r w:rsidRPr="007D21E6">
        <w:rPr>
          <w:rFonts w:ascii="Calibri" w:hAnsi="Calibri" w:cs="Calibri"/>
        </w:rPr>
        <w:t xml:space="preserve"> zgodne z wymaganiami nakładanymi przez RODO. </w:t>
      </w:r>
    </w:p>
    <w:p w14:paraId="2204D980" w14:textId="08441799"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w:t>
      </w:r>
      <w:r w:rsidR="00626F65">
        <w:rPr>
          <w:rFonts w:ascii="Calibri" w:hAnsi="Calibri" w:cs="Calibri"/>
        </w:rPr>
        <w:t>musi umożliwiać</w:t>
      </w:r>
      <w:r w:rsidRPr="007D21E6">
        <w:rPr>
          <w:rFonts w:ascii="Calibri" w:hAnsi="Calibri" w:cs="Calibri"/>
        </w:rPr>
        <w:t xml:space="preserve"> odseparowanie środowisk deweloperskich, testowych oraz produkcyjnych. </w:t>
      </w:r>
    </w:p>
    <w:p w14:paraId="2F18C3F1" w14:textId="1D438B87"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nie </w:t>
      </w:r>
      <w:r w:rsidR="00626F65">
        <w:rPr>
          <w:rFonts w:ascii="Calibri" w:hAnsi="Calibri" w:cs="Calibri"/>
        </w:rPr>
        <w:t>może wykorzystywać</w:t>
      </w:r>
      <w:r w:rsidRPr="007D21E6">
        <w:rPr>
          <w:rFonts w:ascii="Calibri" w:hAnsi="Calibri" w:cs="Calibri"/>
        </w:rPr>
        <w:t xml:space="preserve"> skompromitowanych oraz przestarzałych protokołów przesyłania danych. </w:t>
      </w:r>
    </w:p>
    <w:p w14:paraId="6421B01E" w14:textId="66C3B211" w:rsidR="007D21E6" w:rsidRPr="007D21E6" w:rsidRDefault="007D21E6" w:rsidP="007D21E6">
      <w:pPr>
        <w:pStyle w:val="Akapitzlist"/>
        <w:numPr>
          <w:ilvl w:val="0"/>
          <w:numId w:val="16"/>
        </w:numPr>
        <w:spacing w:line="360" w:lineRule="auto"/>
        <w:jc w:val="both"/>
        <w:rPr>
          <w:rFonts w:ascii="Calibri" w:hAnsi="Calibri" w:cs="Calibri"/>
        </w:rPr>
      </w:pPr>
      <w:r w:rsidRPr="007D21E6">
        <w:rPr>
          <w:rFonts w:ascii="Calibri" w:hAnsi="Calibri" w:cs="Calibri"/>
        </w:rPr>
        <w:t xml:space="preserve">Rozwiązanie nie </w:t>
      </w:r>
      <w:r w:rsidR="00626F65">
        <w:rPr>
          <w:rFonts w:ascii="Calibri" w:hAnsi="Calibri" w:cs="Calibri"/>
        </w:rPr>
        <w:t>może dawać</w:t>
      </w:r>
      <w:r w:rsidRPr="007D21E6">
        <w:rPr>
          <w:rFonts w:ascii="Calibri" w:hAnsi="Calibri" w:cs="Calibri"/>
        </w:rPr>
        <w:t xml:space="preserve"> Użytkownikowi końcowemu dostępu do konkretnych informacji określających stosowane technologie informatyczne. </w:t>
      </w:r>
    </w:p>
    <w:p w14:paraId="4D5920D4" w14:textId="27F81AFA" w:rsidR="00262324" w:rsidRPr="00262324" w:rsidRDefault="00262324" w:rsidP="00262324">
      <w:pPr>
        <w:spacing w:line="360" w:lineRule="auto"/>
        <w:jc w:val="both"/>
        <w:rPr>
          <w:rFonts w:ascii="Calibri" w:hAnsi="Calibri" w:cs="Calibri"/>
        </w:rPr>
      </w:pPr>
    </w:p>
    <w:sectPr w:rsidR="00262324" w:rsidRPr="002623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66439" w14:textId="77777777" w:rsidR="003728E7" w:rsidRDefault="003728E7" w:rsidP="004E6CA7">
      <w:r>
        <w:separator/>
      </w:r>
    </w:p>
  </w:endnote>
  <w:endnote w:type="continuationSeparator" w:id="0">
    <w:p w14:paraId="58CD6445" w14:textId="77777777" w:rsidR="003728E7" w:rsidRDefault="003728E7" w:rsidP="004E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ąĹ">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2AD56" w14:textId="77777777" w:rsidR="003728E7" w:rsidRDefault="003728E7" w:rsidP="004E6CA7">
      <w:r>
        <w:separator/>
      </w:r>
    </w:p>
  </w:footnote>
  <w:footnote w:type="continuationSeparator" w:id="0">
    <w:p w14:paraId="315C9694" w14:textId="77777777" w:rsidR="003728E7" w:rsidRDefault="003728E7" w:rsidP="004E6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0203"/>
    <w:multiLevelType w:val="hybridMultilevel"/>
    <w:tmpl w:val="DA50AB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6DA6A54"/>
    <w:multiLevelType w:val="hybridMultilevel"/>
    <w:tmpl w:val="B3402E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1F360321"/>
    <w:multiLevelType w:val="hybridMultilevel"/>
    <w:tmpl w:val="5BCAA8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3011F3A"/>
    <w:multiLevelType w:val="hybridMultilevel"/>
    <w:tmpl w:val="C908D3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916B44"/>
    <w:multiLevelType w:val="hybridMultilevel"/>
    <w:tmpl w:val="9E6AD9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F044F39"/>
    <w:multiLevelType w:val="hybridMultilevel"/>
    <w:tmpl w:val="7C6A4E68"/>
    <w:lvl w:ilvl="0" w:tplc="0CE03B86">
      <w:start w:val="1"/>
      <w:numFmt w:val="decimal"/>
      <w:lvlText w:val="%1)"/>
      <w:lvlJc w:val="left"/>
      <w:pPr>
        <w:ind w:left="720" w:hanging="360"/>
      </w:pPr>
      <w:rPr>
        <w:rFonts w:ascii="Calibri" w:eastAsia="Calibri" w:hAnsi="Calibri" w:cs="Calibri"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8A34C7E"/>
    <w:multiLevelType w:val="hybridMultilevel"/>
    <w:tmpl w:val="31F02E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C20A7A"/>
    <w:multiLevelType w:val="hybridMultilevel"/>
    <w:tmpl w:val="31E468E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548A0BF7"/>
    <w:multiLevelType w:val="hybridMultilevel"/>
    <w:tmpl w:val="53344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C927BB"/>
    <w:multiLevelType w:val="hybridMultilevel"/>
    <w:tmpl w:val="B60671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7700C1D"/>
    <w:multiLevelType w:val="hybridMultilevel"/>
    <w:tmpl w:val="3B2A41B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945703"/>
    <w:multiLevelType w:val="hybridMultilevel"/>
    <w:tmpl w:val="9384BE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0AD64B5"/>
    <w:multiLevelType w:val="hybridMultilevel"/>
    <w:tmpl w:val="B60671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685687"/>
    <w:multiLevelType w:val="hybridMultilevel"/>
    <w:tmpl w:val="60A4C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5C27259"/>
    <w:multiLevelType w:val="hybridMultilevel"/>
    <w:tmpl w:val="09B4AF4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7FB63C75"/>
    <w:multiLevelType w:val="hybridMultilevel"/>
    <w:tmpl w:val="C026F2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83300824">
    <w:abstractNumId w:val="5"/>
  </w:num>
  <w:num w:numId="2" w16cid:durableId="685908640">
    <w:abstractNumId w:val="6"/>
  </w:num>
  <w:num w:numId="3" w16cid:durableId="1006441439">
    <w:abstractNumId w:val="13"/>
  </w:num>
  <w:num w:numId="4" w16cid:durableId="765929167">
    <w:abstractNumId w:val="2"/>
  </w:num>
  <w:num w:numId="5" w16cid:durableId="1788700801">
    <w:abstractNumId w:val="11"/>
  </w:num>
  <w:num w:numId="6" w16cid:durableId="2034185234">
    <w:abstractNumId w:val="8"/>
  </w:num>
  <w:num w:numId="7" w16cid:durableId="1055082110">
    <w:abstractNumId w:val="0"/>
  </w:num>
  <w:num w:numId="8" w16cid:durableId="1323194061">
    <w:abstractNumId w:val="4"/>
  </w:num>
  <w:num w:numId="9" w16cid:durableId="351340483">
    <w:abstractNumId w:val="15"/>
  </w:num>
  <w:num w:numId="10" w16cid:durableId="1796751363">
    <w:abstractNumId w:val="12"/>
  </w:num>
  <w:num w:numId="11" w16cid:durableId="1881165202">
    <w:abstractNumId w:val="1"/>
  </w:num>
  <w:num w:numId="12" w16cid:durableId="662781985">
    <w:abstractNumId w:val="7"/>
  </w:num>
  <w:num w:numId="13" w16cid:durableId="1552300950">
    <w:abstractNumId w:val="14"/>
  </w:num>
  <w:num w:numId="14" w16cid:durableId="1882276995">
    <w:abstractNumId w:val="9"/>
  </w:num>
  <w:num w:numId="15" w16cid:durableId="2126776859">
    <w:abstractNumId w:val="3"/>
  </w:num>
  <w:num w:numId="16" w16cid:durableId="19638019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3B9"/>
    <w:rsid w:val="00085C90"/>
    <w:rsid w:val="00237109"/>
    <w:rsid w:val="00262324"/>
    <w:rsid w:val="00262F82"/>
    <w:rsid w:val="00274B7D"/>
    <w:rsid w:val="0028467E"/>
    <w:rsid w:val="002F1C59"/>
    <w:rsid w:val="003728E7"/>
    <w:rsid w:val="003A742F"/>
    <w:rsid w:val="003B77D2"/>
    <w:rsid w:val="003D70BF"/>
    <w:rsid w:val="00435887"/>
    <w:rsid w:val="00481E68"/>
    <w:rsid w:val="004E6CA7"/>
    <w:rsid w:val="0052316F"/>
    <w:rsid w:val="00626F65"/>
    <w:rsid w:val="006B31F3"/>
    <w:rsid w:val="00700022"/>
    <w:rsid w:val="00716D6F"/>
    <w:rsid w:val="00757B1A"/>
    <w:rsid w:val="00781C59"/>
    <w:rsid w:val="007C551E"/>
    <w:rsid w:val="007D21E6"/>
    <w:rsid w:val="0081748E"/>
    <w:rsid w:val="008A56FA"/>
    <w:rsid w:val="008D578B"/>
    <w:rsid w:val="008E495C"/>
    <w:rsid w:val="00935BDA"/>
    <w:rsid w:val="00997F8F"/>
    <w:rsid w:val="009B7E7B"/>
    <w:rsid w:val="00A63DF3"/>
    <w:rsid w:val="00AD695B"/>
    <w:rsid w:val="00AF45D6"/>
    <w:rsid w:val="00B7736D"/>
    <w:rsid w:val="00BB01C5"/>
    <w:rsid w:val="00C343B9"/>
    <w:rsid w:val="00C85226"/>
    <w:rsid w:val="00CD7004"/>
    <w:rsid w:val="00D3703B"/>
    <w:rsid w:val="00DB5B08"/>
    <w:rsid w:val="00DC0745"/>
    <w:rsid w:val="00E45A52"/>
    <w:rsid w:val="00E55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034978CE"/>
  <w15:chartTrackingRefBased/>
  <w15:docId w15:val="{7721561D-99F4-144D-B3AD-D337E588B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43B9"/>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C343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343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343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343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343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343B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43B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43B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43B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43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343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343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343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343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343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43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43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43B9"/>
    <w:rPr>
      <w:rFonts w:eastAsiaTheme="majorEastAsia" w:cstheme="majorBidi"/>
      <w:color w:val="272727" w:themeColor="text1" w:themeTint="D8"/>
    </w:rPr>
  </w:style>
  <w:style w:type="paragraph" w:styleId="Tytu">
    <w:name w:val="Title"/>
    <w:basedOn w:val="Normalny"/>
    <w:next w:val="Normalny"/>
    <w:link w:val="TytuZnak"/>
    <w:uiPriority w:val="10"/>
    <w:qFormat/>
    <w:rsid w:val="00C343B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43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43B9"/>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43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43B9"/>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C343B9"/>
    <w:rPr>
      <w:i/>
      <w:iCs/>
      <w:color w:val="404040" w:themeColor="text1" w:themeTint="BF"/>
    </w:rPr>
  </w:style>
  <w:style w:type="paragraph" w:styleId="Akapitzlist">
    <w:name w:val="List Paragraph"/>
    <w:basedOn w:val="Normalny"/>
    <w:uiPriority w:val="34"/>
    <w:qFormat/>
    <w:rsid w:val="00C343B9"/>
    <w:pPr>
      <w:ind w:left="720"/>
      <w:contextualSpacing/>
    </w:pPr>
  </w:style>
  <w:style w:type="character" w:styleId="Wyrnienieintensywne">
    <w:name w:val="Intense Emphasis"/>
    <w:basedOn w:val="Domylnaczcionkaakapitu"/>
    <w:uiPriority w:val="21"/>
    <w:qFormat/>
    <w:rsid w:val="00C343B9"/>
    <w:rPr>
      <w:i/>
      <w:iCs/>
      <w:color w:val="0F4761" w:themeColor="accent1" w:themeShade="BF"/>
    </w:rPr>
  </w:style>
  <w:style w:type="paragraph" w:styleId="Cytatintensywny">
    <w:name w:val="Intense Quote"/>
    <w:basedOn w:val="Normalny"/>
    <w:next w:val="Normalny"/>
    <w:link w:val="CytatintensywnyZnak"/>
    <w:uiPriority w:val="30"/>
    <w:qFormat/>
    <w:rsid w:val="00C343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343B9"/>
    <w:rPr>
      <w:i/>
      <w:iCs/>
      <w:color w:val="0F4761" w:themeColor="accent1" w:themeShade="BF"/>
    </w:rPr>
  </w:style>
  <w:style w:type="character" w:styleId="Odwoanieintensywne">
    <w:name w:val="Intense Reference"/>
    <w:basedOn w:val="Domylnaczcionkaakapitu"/>
    <w:uiPriority w:val="32"/>
    <w:qFormat/>
    <w:rsid w:val="00C343B9"/>
    <w:rPr>
      <w:b/>
      <w:bCs/>
      <w:smallCaps/>
      <w:color w:val="0F4761" w:themeColor="accent1" w:themeShade="BF"/>
      <w:spacing w:val="5"/>
    </w:rPr>
  </w:style>
  <w:style w:type="paragraph" w:customStyle="1" w:styleId="Kategoria">
    <w:name w:val="Kategoria"/>
    <w:basedOn w:val="Normalny"/>
    <w:link w:val="KategoriaZnak"/>
    <w:qFormat/>
    <w:rsid w:val="00C343B9"/>
    <w:pPr>
      <w:numPr>
        <w:ilvl w:val="4"/>
      </w:numPr>
      <w:pBdr>
        <w:top w:val="none" w:sz="0" w:space="0" w:color="000000"/>
        <w:left w:val="none" w:sz="0" w:space="0" w:color="000000"/>
        <w:bottom w:val="single" w:sz="6" w:space="0" w:color="5B9BD5"/>
        <w:right w:val="none" w:sz="0" w:space="0" w:color="000000"/>
      </w:pBdr>
      <w:tabs>
        <w:tab w:val="num" w:pos="0"/>
      </w:tabs>
      <w:spacing w:before="200" w:line="360" w:lineRule="auto"/>
      <w:ind w:left="1008" w:hanging="1008"/>
      <w:jc w:val="both"/>
      <w:outlineLvl w:val="4"/>
    </w:pPr>
    <w:rPr>
      <w:rFonts w:ascii="Calibri" w:eastAsia="Calibri" w:hAnsi="Calibri" w:cs="Calibri"/>
      <w:caps/>
      <w:color w:val="2E74B5"/>
      <w:spacing w:val="10"/>
      <w:lang w:eastAsia="zh-CN" w:bidi="hi-IN"/>
    </w:rPr>
  </w:style>
  <w:style w:type="character" w:customStyle="1" w:styleId="KategoriaZnak">
    <w:name w:val="Kategoria Znak"/>
    <w:basedOn w:val="Domylnaczcionkaakapitu"/>
    <w:link w:val="Kategoria"/>
    <w:rsid w:val="00C343B9"/>
    <w:rPr>
      <w:rFonts w:ascii="Calibri" w:eastAsia="Calibri" w:hAnsi="Calibri" w:cs="Calibri"/>
      <w:caps/>
      <w:color w:val="2E74B5"/>
      <w:spacing w:val="10"/>
      <w:kern w:val="0"/>
      <w:lang w:eastAsia="zh-CN" w:bidi="hi-IN"/>
      <w14:ligatures w14:val="none"/>
    </w:rPr>
  </w:style>
  <w:style w:type="character" w:styleId="Hipercze">
    <w:name w:val="Hyperlink"/>
    <w:basedOn w:val="Domylnaczcionkaakapitu"/>
    <w:uiPriority w:val="99"/>
    <w:unhideWhenUsed/>
    <w:rsid w:val="00AD695B"/>
    <w:rPr>
      <w:color w:val="467886" w:themeColor="hyperlink"/>
      <w:u w:val="single"/>
    </w:rPr>
  </w:style>
  <w:style w:type="character" w:styleId="Nierozpoznanawzmianka">
    <w:name w:val="Unresolved Mention"/>
    <w:basedOn w:val="Domylnaczcionkaakapitu"/>
    <w:uiPriority w:val="99"/>
    <w:semiHidden/>
    <w:unhideWhenUsed/>
    <w:rsid w:val="00AD695B"/>
    <w:rPr>
      <w:color w:val="605E5C"/>
      <w:shd w:val="clear" w:color="auto" w:fill="E1DFDD"/>
    </w:rPr>
  </w:style>
  <w:style w:type="paragraph" w:styleId="Nagwek">
    <w:name w:val="header"/>
    <w:basedOn w:val="Normalny"/>
    <w:link w:val="NagwekZnak"/>
    <w:uiPriority w:val="99"/>
    <w:unhideWhenUsed/>
    <w:rsid w:val="004E6CA7"/>
    <w:pPr>
      <w:tabs>
        <w:tab w:val="center" w:pos="4536"/>
        <w:tab w:val="right" w:pos="9072"/>
      </w:tabs>
    </w:pPr>
  </w:style>
  <w:style w:type="character" w:customStyle="1" w:styleId="NagwekZnak">
    <w:name w:val="Nagłówek Znak"/>
    <w:basedOn w:val="Domylnaczcionkaakapitu"/>
    <w:link w:val="Nagwek"/>
    <w:uiPriority w:val="99"/>
    <w:rsid w:val="004E6CA7"/>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4E6CA7"/>
    <w:pPr>
      <w:tabs>
        <w:tab w:val="center" w:pos="4536"/>
        <w:tab w:val="right" w:pos="9072"/>
      </w:tabs>
    </w:pPr>
  </w:style>
  <w:style w:type="character" w:customStyle="1" w:styleId="StopkaZnak">
    <w:name w:val="Stopka Znak"/>
    <w:basedOn w:val="Domylnaczcionkaakapitu"/>
    <w:link w:val="Stopka"/>
    <w:uiPriority w:val="99"/>
    <w:rsid w:val="004E6CA7"/>
    <w:rPr>
      <w:rFonts w:ascii="Times New Roman" w:eastAsia="Times New Roman" w:hAnsi="Times New Roman" w:cs="Times New Roman"/>
      <w:kern w:val="0"/>
      <w:lang w:eastAsia="pl-PL"/>
      <w14:ligatures w14:val="none"/>
    </w:rPr>
  </w:style>
  <w:style w:type="paragraph" w:customStyle="1" w:styleId="Standard">
    <w:name w:val="Standard"/>
    <w:rsid w:val="00E55463"/>
    <w:pPr>
      <w:widowControl w:val="0"/>
      <w:suppressAutoHyphens/>
      <w:autoSpaceDN w:val="0"/>
      <w:textAlignment w:val="baseline"/>
    </w:pPr>
    <w:rPr>
      <w:rFonts w:ascii="Times New Roman" w:eastAsia="Lucida Sans Unicode" w:hAnsi="Times New Roman" w:cs="Mangal"/>
      <w:kern w:val="3"/>
      <w:lang w:eastAsia="zh-CN" w:bidi="hi-IN"/>
      <w14:ligatures w14:val="none"/>
    </w:rPr>
  </w:style>
  <w:style w:type="paragraph" w:customStyle="1" w:styleId="Default">
    <w:name w:val="Default"/>
    <w:rsid w:val="00E55463"/>
    <w:pPr>
      <w:autoSpaceDE w:val="0"/>
      <w:autoSpaceDN w:val="0"/>
      <w:adjustRightInd w:val="0"/>
    </w:pPr>
    <w:rPr>
      <w:rFonts w:ascii="Tahoma" w:eastAsia="ąĹ" w:hAnsi="Tahoma" w:cs="Tahoma"/>
      <w:color w:val="000000"/>
      <w:kern w:val="0"/>
      <w:lang w:eastAsia="pl-PL"/>
      <w14:ligatures w14:val="none"/>
    </w:rPr>
  </w:style>
  <w:style w:type="paragraph" w:styleId="Bezodstpw">
    <w:name w:val="No Spacing"/>
    <w:uiPriority w:val="1"/>
    <w:qFormat/>
    <w:rsid w:val="008A56FA"/>
    <w:pPr>
      <w:spacing w:before="100"/>
    </w:pPr>
    <w:rPr>
      <w:rFonts w:eastAsiaTheme="minorEastAsia"/>
      <w:kern w:val="0"/>
      <w:sz w:val="20"/>
      <w:szCs w:val="20"/>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5</Pages>
  <Words>866</Words>
  <Characters>5201</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Ważydrąg</dc:creator>
  <cp:keywords/>
  <dc:description/>
  <cp:lastModifiedBy>Michał Ważydrąg</cp:lastModifiedBy>
  <cp:revision>33</cp:revision>
  <dcterms:created xsi:type="dcterms:W3CDTF">2025-06-04T12:23:00Z</dcterms:created>
  <dcterms:modified xsi:type="dcterms:W3CDTF">2026-03-10T21:54:00Z</dcterms:modified>
</cp:coreProperties>
</file>